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1D295" w14:textId="77777777" w:rsidR="00106A6C" w:rsidRDefault="00F67091" w:rsidP="00106A6C">
      <w:pPr>
        <w:pStyle w:val="Heading1"/>
        <w:jc w:val="center"/>
      </w:pPr>
      <w:r>
        <w:t xml:space="preserve">Utviklingsarbeid i prosjektet </w:t>
      </w:r>
    </w:p>
    <w:p w14:paraId="1BE866F6" w14:textId="77777777" w:rsidR="00F67091" w:rsidRPr="00F67091" w:rsidRDefault="002C0BD9" w:rsidP="00106A6C">
      <w:pPr>
        <w:pStyle w:val="Heading1"/>
        <w:jc w:val="center"/>
        <w:rPr>
          <w:i/>
        </w:rPr>
      </w:pPr>
      <w:r>
        <w:rPr>
          <w:i/>
        </w:rPr>
        <w:t>Forsøk med fremmedspråk på</w:t>
      </w:r>
      <w:r w:rsidR="00F67091" w:rsidRPr="00F67091">
        <w:rPr>
          <w:i/>
        </w:rPr>
        <w:t xml:space="preserve"> 6.-7. trinn på barnetrinnet</w:t>
      </w:r>
    </w:p>
    <w:p w14:paraId="3DC2B41F" w14:textId="77777777" w:rsidR="00106A6C" w:rsidRDefault="00106A6C" w:rsidP="00106A6C">
      <w:pPr>
        <w:jc w:val="center"/>
      </w:pPr>
    </w:p>
    <w:p w14:paraId="7184F169" w14:textId="77777777" w:rsidR="00106A6C" w:rsidRPr="007960FB" w:rsidRDefault="00106A6C" w:rsidP="007960FB">
      <w:pPr>
        <w:jc w:val="center"/>
        <w:rPr>
          <w:sz w:val="36"/>
        </w:rPr>
      </w:pPr>
      <w:r w:rsidRPr="007960FB">
        <w:rPr>
          <w:sz w:val="36"/>
        </w:rPr>
        <w:t>Tema: Aktiv</w:t>
      </w:r>
      <w:r w:rsidR="00F67091" w:rsidRPr="007960FB">
        <w:rPr>
          <w:sz w:val="36"/>
        </w:rPr>
        <w:t xml:space="preserve"> læring av fremmedspråk</w:t>
      </w:r>
    </w:p>
    <w:p w14:paraId="142E356B" w14:textId="77777777" w:rsidR="00106A6C" w:rsidRDefault="00106A6C" w:rsidP="007960FB">
      <w:pPr>
        <w:pStyle w:val="Heading2"/>
      </w:pPr>
    </w:p>
    <w:p w14:paraId="4BC40F7B" w14:textId="77777777" w:rsidR="00F67091" w:rsidRDefault="00F67091" w:rsidP="007960FB">
      <w:pPr>
        <w:pStyle w:val="Heading2"/>
      </w:pPr>
      <w:r>
        <w:t>Overordnet mål med utviklingsarbeidet</w:t>
      </w:r>
    </w:p>
    <w:p w14:paraId="3B92B1B5" w14:textId="77777777" w:rsidR="00F67091" w:rsidRDefault="00F67091" w:rsidP="00F67091">
      <w:r>
        <w:t xml:space="preserve">Utviklingsarbeidet skal gi deltakerne utviklingskompetanse knyttet til </w:t>
      </w:r>
      <w:r w:rsidR="00AD66D1">
        <w:t xml:space="preserve">egen </w:t>
      </w:r>
      <w:r>
        <w:t>undervisning og elevenes læring</w:t>
      </w:r>
      <w:r w:rsidR="00AD66D1">
        <w:t>,</w:t>
      </w:r>
      <w:r>
        <w:t xml:space="preserve"> </w:t>
      </w:r>
      <w:r w:rsidR="00AD66D1">
        <w:t>og</w:t>
      </w:r>
      <w:r>
        <w:t xml:space="preserve"> bygge</w:t>
      </w:r>
      <w:r w:rsidR="00AD66D1">
        <w:t>r</w:t>
      </w:r>
      <w:r>
        <w:t xml:space="preserve"> på gjeldende lov- og regelverk for grunnopplæringen</w:t>
      </w:r>
      <w:r w:rsidR="00AD66D1">
        <w:t xml:space="preserve"> og </w:t>
      </w:r>
      <w:r w:rsidR="008B37A7">
        <w:t>forskningsb</w:t>
      </w:r>
      <w:r w:rsidR="007960FB">
        <w:t>a</w:t>
      </w:r>
      <w:r w:rsidR="008B37A7">
        <w:t>sert</w:t>
      </w:r>
      <w:r w:rsidR="00AD66D1">
        <w:t xml:space="preserve"> teori </w:t>
      </w:r>
      <w:r w:rsidR="007960FB">
        <w:t>som kan knyttes til</w:t>
      </w:r>
      <w:r w:rsidR="00AD66D1">
        <w:t xml:space="preserve"> fremmedspråkslæring</w:t>
      </w:r>
      <w:r>
        <w:t xml:space="preserve">. Denne kompetansen skal gi deltakerne grunnlag for </w:t>
      </w:r>
      <w:r w:rsidR="007960FB">
        <w:t xml:space="preserve">en teoribasert </w:t>
      </w:r>
      <w:r>
        <w:t xml:space="preserve">utvikling av </w:t>
      </w:r>
      <w:r w:rsidR="00AD66D1">
        <w:t>sin egen</w:t>
      </w:r>
      <w:r>
        <w:t xml:space="preserve"> praksis og utvikling av skolen som helhet.</w:t>
      </w:r>
      <w:r w:rsidR="007960FB">
        <w:t xml:space="preserve"> </w:t>
      </w:r>
    </w:p>
    <w:p w14:paraId="05B8464C" w14:textId="77777777" w:rsidR="00F67091" w:rsidRDefault="00F67091" w:rsidP="00F67091">
      <w:r>
        <w:t>Prosjektet gir deltakerne erfaring i å utvikle undervisning i et fellesskap</w:t>
      </w:r>
      <w:r w:rsidR="00540494">
        <w:t xml:space="preserve"> og å dele erfaringer ut over egen skole</w:t>
      </w:r>
      <w:r>
        <w:t>, noe som blir stadig viktigere for lærerens arbeid i skolen.</w:t>
      </w:r>
    </w:p>
    <w:p w14:paraId="096D8769" w14:textId="77777777" w:rsidR="00F67091" w:rsidRPr="00AD66D1" w:rsidRDefault="00F67091" w:rsidP="00F67091">
      <w:pPr>
        <w:pStyle w:val="Heading3"/>
      </w:pPr>
      <w:r w:rsidRPr="00AD66D1">
        <w:t>Læringsmål</w:t>
      </w:r>
    </w:p>
    <w:p w14:paraId="49F08AA8" w14:textId="77777777" w:rsidR="008B37A7" w:rsidRDefault="007960FB" w:rsidP="00AD66D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alibri-Bold" w:hAnsi="Calibri-Bold" w:cs="Calibri-Bold"/>
          <w:color w:val="000000"/>
          <w:sz w:val="22"/>
          <w:szCs w:val="22"/>
        </w:rPr>
      </w:pPr>
      <w:r>
        <w:rPr>
          <w:rFonts w:ascii="Calibri-Bold" w:hAnsi="Calibri-Bold" w:cs="Calibri-Bold"/>
          <w:color w:val="000000"/>
          <w:sz w:val="22"/>
          <w:szCs w:val="22"/>
        </w:rPr>
        <w:t>Økt forståelse for</w:t>
      </w:r>
      <w:r w:rsidR="008B37A7">
        <w:rPr>
          <w:rFonts w:ascii="Calibri-Bold" w:hAnsi="Calibri-Bold" w:cs="Calibri-Bold"/>
          <w:color w:val="000000"/>
          <w:sz w:val="22"/>
          <w:szCs w:val="22"/>
        </w:rPr>
        <w:t xml:space="preserve"> gjennomføring av undervisning i fremmedspråk på barnetrinnet</w:t>
      </w:r>
    </w:p>
    <w:p w14:paraId="2C041BC2" w14:textId="77777777" w:rsidR="008B37A7" w:rsidRPr="00AD66D1" w:rsidRDefault="008B37A7" w:rsidP="008B37A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alibri-Bold" w:hAnsi="Calibri-Bold" w:cs="Calibri-Bold"/>
          <w:color w:val="000000"/>
          <w:sz w:val="22"/>
          <w:szCs w:val="22"/>
        </w:rPr>
      </w:pPr>
      <w:r w:rsidRPr="00AD66D1">
        <w:rPr>
          <w:rFonts w:ascii="Calibri-Bold" w:hAnsi="Calibri-Bold" w:cs="Calibri-Bold"/>
          <w:color w:val="000000"/>
          <w:sz w:val="22"/>
          <w:szCs w:val="22"/>
        </w:rPr>
        <w:t xml:space="preserve">Innsikt i et teoretisk grunnlag for fremmedspråksundervisning og </w:t>
      </w:r>
      <w:r w:rsidR="007960FB">
        <w:rPr>
          <w:rFonts w:ascii="Calibri-Bold" w:hAnsi="Calibri-Bold" w:cs="Calibri-Bold"/>
          <w:color w:val="000000"/>
          <w:sz w:val="22"/>
          <w:szCs w:val="22"/>
        </w:rPr>
        <w:t xml:space="preserve">fremmedspråk som </w:t>
      </w:r>
      <w:r w:rsidRPr="00AD66D1">
        <w:rPr>
          <w:rFonts w:ascii="Calibri-Bold" w:hAnsi="Calibri-Bold" w:cs="Calibri-Bold"/>
          <w:color w:val="000000"/>
          <w:sz w:val="22"/>
          <w:szCs w:val="22"/>
        </w:rPr>
        <w:t>fag</w:t>
      </w:r>
    </w:p>
    <w:p w14:paraId="34A9BB51" w14:textId="77777777" w:rsidR="00AD66D1" w:rsidRPr="00AD66D1" w:rsidRDefault="00F67091" w:rsidP="00AD66D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alibri-Bold" w:hAnsi="Calibri-Bold" w:cs="Calibri-Bold"/>
          <w:color w:val="000000"/>
          <w:sz w:val="22"/>
          <w:szCs w:val="22"/>
        </w:rPr>
      </w:pPr>
      <w:r w:rsidRPr="00AD66D1">
        <w:rPr>
          <w:rFonts w:ascii="Calibri-Bold" w:hAnsi="Calibri-Bold" w:cs="Calibri-Bold"/>
          <w:color w:val="000000"/>
          <w:sz w:val="22"/>
          <w:szCs w:val="22"/>
        </w:rPr>
        <w:t xml:space="preserve">Økt forståelse for og kunnskap om prinsipper for </w:t>
      </w:r>
      <w:r w:rsidRPr="00AD66D1">
        <w:rPr>
          <w:rFonts w:ascii="Calibri-Bold" w:hAnsi="Calibri-Bold" w:cs="Calibri-Bold"/>
          <w:i/>
          <w:color w:val="000000"/>
          <w:sz w:val="22"/>
          <w:szCs w:val="22"/>
        </w:rPr>
        <w:t>vurdering for læring</w:t>
      </w:r>
      <w:r w:rsidR="00AD66D1" w:rsidRPr="00AD66D1">
        <w:rPr>
          <w:rFonts w:ascii="Calibri-Bold" w:hAnsi="Calibri-Bold" w:cs="Calibri-Bold"/>
          <w:color w:val="000000"/>
          <w:sz w:val="22"/>
          <w:szCs w:val="22"/>
        </w:rPr>
        <w:t xml:space="preserve"> og elevvurdering</w:t>
      </w:r>
    </w:p>
    <w:p w14:paraId="6E83E418" w14:textId="77777777" w:rsidR="00AD66D1" w:rsidRPr="00AD66D1" w:rsidRDefault="00AD66D1" w:rsidP="00AD66D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alibri-Bold" w:hAnsi="Calibri-Bold" w:cs="Calibri-Bold"/>
          <w:color w:val="000000"/>
          <w:sz w:val="22"/>
          <w:szCs w:val="22"/>
        </w:rPr>
      </w:pPr>
      <w:r w:rsidRPr="00AD66D1">
        <w:rPr>
          <w:rFonts w:ascii="Calibri-Bold" w:hAnsi="Calibri-Bold" w:cs="Calibri-Bold"/>
          <w:color w:val="000000"/>
          <w:sz w:val="22"/>
          <w:szCs w:val="22"/>
        </w:rPr>
        <w:t>Kompetanse i å gjennomføre et utviklingsarbeid knyttet til praksisfeltet</w:t>
      </w:r>
    </w:p>
    <w:p w14:paraId="54D26C78" w14:textId="77777777" w:rsidR="00F67091" w:rsidRPr="00AD66D1" w:rsidRDefault="00AD66D1" w:rsidP="00AD66D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Calibri-Bold" w:hAnsi="Calibri-Bold" w:cs="Calibri-Bold"/>
          <w:color w:val="000000"/>
          <w:sz w:val="22"/>
          <w:szCs w:val="22"/>
        </w:rPr>
      </w:pPr>
      <w:r w:rsidRPr="00AD66D1">
        <w:rPr>
          <w:rFonts w:ascii="Calibri-Bold" w:hAnsi="Calibri-Bold" w:cs="Calibri-Bold"/>
          <w:color w:val="000000"/>
          <w:sz w:val="22"/>
          <w:szCs w:val="22"/>
        </w:rPr>
        <w:t>Økt innsikt I hvordan undervisning kan planlegges og evalueres i samarbeid med andre lærere</w:t>
      </w:r>
    </w:p>
    <w:p w14:paraId="27982C42" w14:textId="77777777" w:rsidR="00AD66D1" w:rsidRDefault="00AD66D1" w:rsidP="00F67091"/>
    <w:p w14:paraId="13E6B2B3" w14:textId="77777777" w:rsidR="008B37A7" w:rsidRDefault="008B37A7" w:rsidP="007960FB">
      <w:pPr>
        <w:pStyle w:val="Heading2"/>
      </w:pPr>
      <w:r>
        <w:t>Innhold</w:t>
      </w:r>
    </w:p>
    <w:p w14:paraId="146244E3" w14:textId="77777777" w:rsidR="008B37A7" w:rsidRDefault="008B37A7" w:rsidP="008B37A7">
      <w:pPr>
        <w:tabs>
          <w:tab w:val="left" w:pos="6387"/>
        </w:tabs>
      </w:pPr>
      <w:r>
        <w:t>Stortingsmelding nr. 31 (2007-­‐2008) er svært tydelig på at vurdering, tilbakemelding og målrettet oppfølging av elevenes læringsutvikling og læringsutbytte må prioriteres høyere i hele grunnopplæringen. Departementet hevder at mange skoler har en svak vurderingskultur og skolene klarer ikke godt nok å vurdere i hvilken grad de når målene for skolens virksomhet.</w:t>
      </w:r>
    </w:p>
    <w:p w14:paraId="18F9735C" w14:textId="77777777" w:rsidR="00D31E6D" w:rsidRPr="00483A33" w:rsidRDefault="008B37A7" w:rsidP="00D31E6D">
      <w:pPr>
        <w:widowControl w:val="0"/>
        <w:autoSpaceDE w:val="0"/>
        <w:autoSpaceDN w:val="0"/>
        <w:adjustRightInd w:val="0"/>
        <w:spacing w:after="0"/>
        <w:rPr>
          <w:rFonts w:cs="Cambria"/>
          <w:szCs w:val="22"/>
        </w:rPr>
      </w:pPr>
      <w:r>
        <w:t xml:space="preserve">I </w:t>
      </w:r>
      <w:r w:rsidRPr="00D31E6D">
        <w:rPr>
          <w:i/>
        </w:rPr>
        <w:t>Kunnskapsløftet</w:t>
      </w:r>
      <w:r>
        <w:t xml:space="preserve"> har skolene lokal frihet til å tolke kompetansemålene i læreplanen for fag i forhold til den elevgruppen undervisningen foregår i og den verden elevene befinner seg i. Dette innebærer at læreren har et stort ansvar når det gjelder å planlegge, gjennomføre og vurdere fremmedspråksundervisningen</w:t>
      </w:r>
      <w:r w:rsidR="00617C26">
        <w:t xml:space="preserve"> slik at hver enkelt elev opplever at det å lære et fremmedspråk er meningsfullt</w:t>
      </w:r>
      <w:r>
        <w:t>.</w:t>
      </w:r>
      <w:r w:rsidR="00483A33">
        <w:t xml:space="preserve"> </w:t>
      </w:r>
      <w:r w:rsidR="00483A33" w:rsidRPr="00483A33">
        <w:rPr>
          <w:i/>
        </w:rPr>
        <w:t>Vurderingsforskriften</w:t>
      </w:r>
      <w:r w:rsidR="00D31E6D">
        <w:t xml:space="preserve"> krever at elevene skal være involvert i læringsarbeidet i fremmedspråket og i stand til å egenvurdere arbeidet sitt. Disse forskriftene griper inn i lærerens undervisning og i hverdagen i skolen. </w:t>
      </w:r>
      <w:r w:rsidR="00D31E6D" w:rsidRPr="00483A33">
        <w:t xml:space="preserve">I </w:t>
      </w:r>
      <w:r w:rsidR="00D31E6D" w:rsidRPr="00483A33">
        <w:rPr>
          <w:rFonts w:cs="Cambria"/>
          <w:i/>
          <w:szCs w:val="22"/>
        </w:rPr>
        <w:t>Opplæringslova</w:t>
      </w:r>
      <w:r w:rsidR="00D31E6D" w:rsidRPr="00483A33">
        <w:rPr>
          <w:rFonts w:cs="Cambria"/>
          <w:szCs w:val="22"/>
        </w:rPr>
        <w:t xml:space="preserve"> §3,‐4 og §4‐5 heter det: Elevene skal </w:t>
      </w:r>
      <w:r w:rsidR="00483A33">
        <w:rPr>
          <w:rFonts w:cs="Cambria"/>
          <w:szCs w:val="22"/>
        </w:rPr>
        <w:t>delta i</w:t>
      </w:r>
      <w:r w:rsidR="00D31E6D" w:rsidRPr="00483A33">
        <w:rPr>
          <w:rFonts w:cs="Cambria"/>
          <w:szCs w:val="22"/>
        </w:rPr>
        <w:t xml:space="preserve"> vurderingsarbeidet. Elevene skal utvikle bedre innsikt i egne læringsprosesser og </w:t>
      </w:r>
      <w:r w:rsidR="00617C26">
        <w:rPr>
          <w:rFonts w:cs="Cambria"/>
          <w:szCs w:val="22"/>
        </w:rPr>
        <w:t>forskning viser</w:t>
      </w:r>
      <w:r w:rsidR="00D31E6D" w:rsidRPr="00483A33">
        <w:rPr>
          <w:rFonts w:cs="Cambria"/>
          <w:szCs w:val="22"/>
        </w:rPr>
        <w:t xml:space="preserve"> at kjennskap til kjennetegn og mål</w:t>
      </w:r>
      <w:r w:rsidR="00617C26">
        <w:rPr>
          <w:rFonts w:cs="Cambria"/>
          <w:szCs w:val="22"/>
        </w:rPr>
        <w:t xml:space="preserve"> og tilbakemeldinger på elevens arbeid</w:t>
      </w:r>
      <w:r w:rsidR="00D31E6D" w:rsidRPr="00483A33">
        <w:rPr>
          <w:rFonts w:cs="Cambria"/>
          <w:szCs w:val="22"/>
        </w:rPr>
        <w:t xml:space="preserve"> virker motiverende og læring</w:t>
      </w:r>
      <w:r w:rsidR="00483A33">
        <w:rPr>
          <w:rFonts w:cs="Cambria"/>
          <w:szCs w:val="22"/>
        </w:rPr>
        <w:t>sfremmende for elevens læring (</w:t>
      </w:r>
      <w:r w:rsidR="00D31E6D" w:rsidRPr="00483A33">
        <w:rPr>
          <w:rFonts w:cs="Cambria"/>
          <w:szCs w:val="22"/>
        </w:rPr>
        <w:t>Utdanningsdirektoratet).</w:t>
      </w:r>
    </w:p>
    <w:p w14:paraId="34CB616C" w14:textId="77777777" w:rsidR="00D31E6D" w:rsidRPr="00483A33" w:rsidRDefault="00D31E6D" w:rsidP="008B37A7">
      <w:pPr>
        <w:tabs>
          <w:tab w:val="left" w:pos="6387"/>
        </w:tabs>
        <w:rPr>
          <w:rFonts w:cs="Cambria"/>
          <w:szCs w:val="22"/>
        </w:rPr>
      </w:pPr>
    </w:p>
    <w:p w14:paraId="79652D45" w14:textId="3CDEC40D" w:rsidR="00D31E6D" w:rsidRDefault="00D31E6D" w:rsidP="008B37A7">
      <w:pPr>
        <w:tabs>
          <w:tab w:val="left" w:pos="6387"/>
        </w:tabs>
      </w:pPr>
      <w:r>
        <w:lastRenderedPageBreak/>
        <w:t xml:space="preserve">I dette utviklingsprosjektet fokuseres det derfor på </w:t>
      </w:r>
      <w:r w:rsidR="00617C26">
        <w:t xml:space="preserve">å synliggjøre </w:t>
      </w:r>
      <w:r>
        <w:t>planlegging, gjennomføring og vurdering av undervisning og læring</w:t>
      </w:r>
      <w:r w:rsidR="00027F88">
        <w:t>,</w:t>
      </w:r>
      <w:r>
        <w:t xml:space="preserve"> </w:t>
      </w:r>
      <w:r w:rsidR="00027F88">
        <w:t xml:space="preserve">jamfør emnebeskrivelsen for etterutdanningen, hvor ”deltakerne skal kunne anvende, begrunne og vurdere et bredt spekter av arbeidsmåter og metoder i språkopplæringen”. </w:t>
      </w:r>
      <w:r w:rsidR="00483A33">
        <w:t>Samtidig fokuseres det på forskning som begrunner de valg læreren gjør i sin undervisning</w:t>
      </w:r>
      <w:r w:rsidR="00617C26">
        <w:t>, slik at læreren får to ben å stå på: det erfaringsbaserte og det teoretiske</w:t>
      </w:r>
      <w:r w:rsidR="00483A33">
        <w:t>.</w:t>
      </w:r>
    </w:p>
    <w:p w14:paraId="3986A362" w14:textId="77777777" w:rsidR="00483A33" w:rsidRDefault="00483A33" w:rsidP="007960FB">
      <w:pPr>
        <w:pStyle w:val="Heading2"/>
      </w:pPr>
      <w:r>
        <w:t>Organisering</w:t>
      </w:r>
    </w:p>
    <w:p w14:paraId="7D36AF0E" w14:textId="77777777" w:rsidR="00AC4C09" w:rsidRDefault="00483A33" w:rsidP="008B37A7">
      <w:pPr>
        <w:tabs>
          <w:tab w:val="left" w:pos="6387"/>
        </w:tabs>
      </w:pPr>
      <w:r>
        <w:t>Deltakerne organi</w:t>
      </w:r>
      <w:r w:rsidR="008C72E5">
        <w:t xml:space="preserve">serer seg i grupper på </w:t>
      </w:r>
      <w:r>
        <w:t>3</w:t>
      </w:r>
      <w:r w:rsidR="008C72E5">
        <w:t>+</w:t>
      </w:r>
      <w:r w:rsidR="00AC4C09">
        <w:t>. De bestemmer seg for et tema</w:t>
      </w:r>
      <w:r>
        <w:t xml:space="preserve"> og de planlegger og gjennomfører utv</w:t>
      </w:r>
      <w:r w:rsidR="00AC4C09">
        <w:t>iklingsprosjektet på samlingene</w:t>
      </w:r>
      <w:r>
        <w:t xml:space="preserve"> (w</w:t>
      </w:r>
      <w:r w:rsidR="00AC4C09">
        <w:t xml:space="preserve">orkshop) og mellom samlingene (eventuelt </w:t>
      </w:r>
      <w:r>
        <w:t xml:space="preserve">digitalt) høsten 2011 og våren 2012.  </w:t>
      </w:r>
    </w:p>
    <w:p w14:paraId="35E69EBA" w14:textId="77777777" w:rsidR="00106A6C" w:rsidRDefault="00483A33" w:rsidP="008B37A7">
      <w:pPr>
        <w:tabs>
          <w:tab w:val="left" w:pos="6387"/>
        </w:tabs>
      </w:pPr>
      <w:r>
        <w:t xml:space="preserve">På samlingen vil deltakerne få en innføring i utviklingsarbeid og i veiledningene mellom samlingene vil deltakerne </w:t>
      </w:r>
      <w:r w:rsidR="00AC4C09">
        <w:t xml:space="preserve"> få hjelp med</w:t>
      </w:r>
      <w:r>
        <w:t xml:space="preserve"> arbeidet</w:t>
      </w:r>
      <w:r w:rsidR="00AC4C09">
        <w:t xml:space="preserve"> i prosjektet. Teori ( artikler) som kan knyttes til arbeidet vil bli delt ut på samlingene og gjort tilgjengelig på nettstedet for prosjektet, samt på Fremmedspråksenterets nettsider.</w:t>
      </w:r>
      <w:r w:rsidR="00106A6C">
        <w:t xml:space="preserve"> </w:t>
      </w:r>
    </w:p>
    <w:p w14:paraId="6B641C1C" w14:textId="77777777" w:rsidR="00AC4C09" w:rsidRDefault="00106A6C" w:rsidP="008B37A7">
      <w:pPr>
        <w:tabs>
          <w:tab w:val="left" w:pos="6387"/>
        </w:tabs>
      </w:pPr>
      <w:r>
        <w:t xml:space="preserve">Våren 2012 skal deltakerne presentere sine arbeid (20 minutter) og få tilbakemeldinger fra andre kursdeltakere (10 minutter) på en konferanse som avholdes felles for de to regionene i forsøket. </w:t>
      </w:r>
      <w:r w:rsidR="004D508F">
        <w:t>Noen prosjekt presenterer også sine arbeid på evalueringskonferansen dagen etter. Arbeidene/undervisningsoppleggene legges til slutt ut på Fremmedspråksenterets nettsted ( regionale nettsted).</w:t>
      </w:r>
    </w:p>
    <w:p w14:paraId="7A975681" w14:textId="77777777" w:rsidR="00106A6C" w:rsidRDefault="00483A33" w:rsidP="007960FB">
      <w:pPr>
        <w:pStyle w:val="Heading2"/>
      </w:pPr>
      <w:r>
        <w:t xml:space="preserve"> </w:t>
      </w:r>
      <w:r w:rsidR="00617C26">
        <w:t>K</w:t>
      </w:r>
      <w:r w:rsidR="00106A6C">
        <w:t>riterier for utviklingsprosjektet</w:t>
      </w:r>
    </w:p>
    <w:p w14:paraId="1ADE8847" w14:textId="77777777" w:rsidR="00106A6C" w:rsidRDefault="00AC4C09" w:rsidP="008B37A7">
      <w:pPr>
        <w:tabs>
          <w:tab w:val="left" w:pos="6387"/>
        </w:tabs>
      </w:pPr>
      <w:r>
        <w:t xml:space="preserve">Krav til presentasjonen er at deltakerne presenterer </w:t>
      </w:r>
      <w:r w:rsidR="00617C26">
        <w:t xml:space="preserve">tema, </w:t>
      </w:r>
      <w:r>
        <w:t xml:space="preserve">mål og kriterier for arbeidet, gir eksempler fra gjennomføringen og viser hvordan arbeidet ble vurdert. Arbeidet </w:t>
      </w:r>
      <w:r w:rsidR="00617C26">
        <w:t>bør</w:t>
      </w:r>
      <w:r w:rsidR="00106A6C">
        <w:t xml:space="preserve"> </w:t>
      </w:r>
      <w:r>
        <w:t xml:space="preserve">knyttes til relevant teori og sentrale teoretiske begrep. </w:t>
      </w:r>
    </w:p>
    <w:p w14:paraId="661ED78B" w14:textId="77777777" w:rsidR="00106A6C" w:rsidRDefault="00AC4C09" w:rsidP="008B37A7">
      <w:pPr>
        <w:tabs>
          <w:tab w:val="left" w:pos="6387"/>
        </w:tabs>
      </w:pPr>
      <w:r>
        <w:t xml:space="preserve">Sertifikat på etterutdanningskurset deles </w:t>
      </w:r>
      <w:r w:rsidR="00617C26">
        <w:t xml:space="preserve">ut </w:t>
      </w:r>
      <w:r>
        <w:t>etter avlagt presentasjon.</w:t>
      </w:r>
    </w:p>
    <w:p w14:paraId="483FE1D6" w14:textId="13CDB2AA" w:rsidR="00D31E6D" w:rsidRDefault="00932E82" w:rsidP="008B37A7">
      <w:pPr>
        <w:tabs>
          <w:tab w:val="left" w:pos="6387"/>
        </w:tabs>
      </w:pPr>
      <w:r>
        <w:t>Professor Torlaug Løkensgar</w:t>
      </w:r>
      <w:r w:rsidR="000F7C44">
        <w:t>d</w:t>
      </w:r>
      <w:r>
        <w:t xml:space="preserve"> Hoel vil ta dere </w:t>
      </w:r>
      <w:r w:rsidR="001A701B">
        <w:t>gjennom arbeidet med å skrive om</w:t>
      </w:r>
      <w:r>
        <w:t xml:space="preserve"> egen praksis på samlingene før konferansen.</w:t>
      </w:r>
    </w:p>
    <w:p w14:paraId="55C7AFA0" w14:textId="77777777" w:rsidR="00106A6C" w:rsidRDefault="00106A6C" w:rsidP="008B37A7">
      <w:pPr>
        <w:tabs>
          <w:tab w:val="left" w:pos="6387"/>
        </w:tabs>
      </w:pPr>
    </w:p>
    <w:p w14:paraId="68A961A4" w14:textId="3C8F4C1F" w:rsidR="00617C26" w:rsidRDefault="00106A6C" w:rsidP="007960FB">
      <w:pPr>
        <w:pStyle w:val="Heading2"/>
      </w:pPr>
      <w:r>
        <w:t>Prosessen i arbeidet</w:t>
      </w:r>
      <w:r w:rsidR="00617C26">
        <w:t xml:space="preserve"> på og mellom samlingene</w:t>
      </w:r>
      <w:r w:rsidR="001A701B">
        <w:t xml:space="preserve"> ( forslag)</w:t>
      </w:r>
    </w:p>
    <w:p w14:paraId="4513CC96" w14:textId="77777777" w:rsidR="00106A6C" w:rsidRPr="00617C26" w:rsidRDefault="00106A6C" w:rsidP="00617C26"/>
    <w:p w14:paraId="239C6193" w14:textId="77777777" w:rsidR="007960FB" w:rsidRPr="007960FB" w:rsidRDefault="007960FB" w:rsidP="00106A6C">
      <w:pPr>
        <w:pStyle w:val="ListParagraph"/>
        <w:numPr>
          <w:ilvl w:val="0"/>
          <w:numId w:val="3"/>
        </w:numPr>
        <w:tabs>
          <w:tab w:val="left" w:pos="6387"/>
        </w:tabs>
      </w:pPr>
      <w:r w:rsidRPr="007960FB">
        <w:rPr>
          <w:color w:val="000000"/>
          <w:lang w:eastAsia="nb-NO"/>
        </w:rPr>
        <w:t>15.-16. SEPTEMBER 2011</w:t>
      </w:r>
    </w:p>
    <w:p w14:paraId="4157F807" w14:textId="77777777" w:rsidR="00106A6C" w:rsidRPr="007960FB" w:rsidRDefault="007960FB" w:rsidP="00617C26">
      <w:pPr>
        <w:pStyle w:val="ListParagraph"/>
        <w:numPr>
          <w:ilvl w:val="1"/>
          <w:numId w:val="3"/>
        </w:numPr>
        <w:tabs>
          <w:tab w:val="left" w:pos="6387"/>
        </w:tabs>
      </w:pPr>
      <w:r w:rsidRPr="007960FB">
        <w:t>Danne</w:t>
      </w:r>
      <w:r w:rsidR="00106A6C" w:rsidRPr="007960FB">
        <w:t xml:space="preserve"> grupper og tema for arbeidet</w:t>
      </w:r>
    </w:p>
    <w:p w14:paraId="66D30426" w14:textId="77777777" w:rsidR="00106A6C" w:rsidRPr="007960FB" w:rsidRDefault="007960FB" w:rsidP="00617C26">
      <w:pPr>
        <w:pStyle w:val="ListParagraph"/>
        <w:numPr>
          <w:ilvl w:val="1"/>
          <w:numId w:val="3"/>
        </w:numPr>
        <w:tabs>
          <w:tab w:val="left" w:pos="6387"/>
        </w:tabs>
      </w:pPr>
      <w:r w:rsidRPr="007960FB">
        <w:t xml:space="preserve">Lese </w:t>
      </w:r>
      <w:r w:rsidR="00106A6C" w:rsidRPr="007960FB">
        <w:t>relevant teori (artikler, Internett osv.)</w:t>
      </w:r>
    </w:p>
    <w:p w14:paraId="48531D51" w14:textId="77777777" w:rsidR="007960FB" w:rsidRPr="007960FB" w:rsidRDefault="007960FB" w:rsidP="00106A6C">
      <w:pPr>
        <w:pStyle w:val="ListParagraph"/>
        <w:numPr>
          <w:ilvl w:val="0"/>
          <w:numId w:val="3"/>
        </w:numPr>
        <w:tabs>
          <w:tab w:val="left" w:pos="6387"/>
        </w:tabs>
      </w:pPr>
      <w:r w:rsidRPr="007960FB">
        <w:rPr>
          <w:color w:val="000000"/>
          <w:lang w:eastAsia="nb-NO"/>
        </w:rPr>
        <w:t>3.-4. NOVEMBER 2011</w:t>
      </w:r>
    </w:p>
    <w:p w14:paraId="37987B67" w14:textId="77777777" w:rsidR="00106A6C" w:rsidRPr="007960FB" w:rsidRDefault="007960FB" w:rsidP="00617C26">
      <w:pPr>
        <w:pStyle w:val="ListParagraph"/>
        <w:numPr>
          <w:ilvl w:val="1"/>
          <w:numId w:val="3"/>
        </w:numPr>
        <w:tabs>
          <w:tab w:val="left" w:pos="6387"/>
        </w:tabs>
      </w:pPr>
      <w:r w:rsidRPr="007960FB">
        <w:t xml:space="preserve">Utarbeide en undervisningsplan </w:t>
      </w:r>
    </w:p>
    <w:p w14:paraId="6FC2E320" w14:textId="77777777" w:rsidR="00106A6C" w:rsidRPr="007960FB" w:rsidRDefault="00106A6C" w:rsidP="00617C26">
      <w:pPr>
        <w:pStyle w:val="ListParagraph"/>
        <w:numPr>
          <w:ilvl w:val="1"/>
          <w:numId w:val="3"/>
        </w:numPr>
        <w:tabs>
          <w:tab w:val="left" w:pos="6387"/>
        </w:tabs>
      </w:pPr>
      <w:r w:rsidRPr="007960FB">
        <w:t>Prøve ut i egen undervisning / observere annen undervisning</w:t>
      </w:r>
    </w:p>
    <w:p w14:paraId="2290321F" w14:textId="77777777" w:rsidR="007960FB" w:rsidRPr="007960FB" w:rsidRDefault="007960FB" w:rsidP="00106A6C">
      <w:pPr>
        <w:pStyle w:val="ListParagraph"/>
        <w:numPr>
          <w:ilvl w:val="0"/>
          <w:numId w:val="3"/>
        </w:numPr>
        <w:tabs>
          <w:tab w:val="left" w:pos="6387"/>
        </w:tabs>
      </w:pPr>
      <w:r w:rsidRPr="007960FB">
        <w:rPr>
          <w:color w:val="000000"/>
          <w:lang w:eastAsia="nb-NO"/>
        </w:rPr>
        <w:t xml:space="preserve">9.-10. FEBRUAR 2012 </w:t>
      </w:r>
    </w:p>
    <w:p w14:paraId="10DF8D88" w14:textId="77777777" w:rsidR="00106A6C" w:rsidRPr="007960FB" w:rsidRDefault="00106A6C" w:rsidP="00617C26">
      <w:pPr>
        <w:pStyle w:val="ListParagraph"/>
        <w:numPr>
          <w:ilvl w:val="1"/>
          <w:numId w:val="3"/>
        </w:numPr>
        <w:tabs>
          <w:tab w:val="left" w:pos="6387"/>
        </w:tabs>
      </w:pPr>
      <w:r w:rsidRPr="007960FB">
        <w:t>Tilpasse undervisningsplanen etter at den er evaluert</w:t>
      </w:r>
    </w:p>
    <w:p w14:paraId="6B454BB5" w14:textId="77777777" w:rsidR="007960FB" w:rsidRPr="007960FB" w:rsidRDefault="00106A6C" w:rsidP="00617C26">
      <w:pPr>
        <w:pStyle w:val="ListParagraph"/>
        <w:numPr>
          <w:ilvl w:val="1"/>
          <w:numId w:val="3"/>
        </w:numPr>
        <w:tabs>
          <w:tab w:val="left" w:pos="6387"/>
        </w:tabs>
      </w:pPr>
      <w:r w:rsidRPr="007960FB">
        <w:t>P</w:t>
      </w:r>
      <w:r w:rsidR="007960FB" w:rsidRPr="007960FB">
        <w:t>lanlegge presentasjonen på konferansen</w:t>
      </w:r>
    </w:p>
    <w:p w14:paraId="5C764C86" w14:textId="77777777" w:rsidR="007960FB" w:rsidRPr="007960FB" w:rsidRDefault="007960FB" w:rsidP="00106A6C">
      <w:pPr>
        <w:pStyle w:val="ListParagraph"/>
        <w:numPr>
          <w:ilvl w:val="0"/>
          <w:numId w:val="3"/>
        </w:numPr>
        <w:tabs>
          <w:tab w:val="left" w:pos="6387"/>
        </w:tabs>
      </w:pPr>
      <w:r w:rsidRPr="007960FB">
        <w:rPr>
          <w:color w:val="000000"/>
          <w:lang w:eastAsia="nb-NO"/>
        </w:rPr>
        <w:t xml:space="preserve">10.-11.MAI 2012 </w:t>
      </w:r>
    </w:p>
    <w:p w14:paraId="41628E91" w14:textId="77777777" w:rsidR="00540494" w:rsidRDefault="007960FB" w:rsidP="00617C26">
      <w:pPr>
        <w:pStyle w:val="ListParagraph"/>
        <w:numPr>
          <w:ilvl w:val="1"/>
          <w:numId w:val="3"/>
        </w:numPr>
        <w:tabs>
          <w:tab w:val="left" w:pos="6387"/>
        </w:tabs>
      </w:pPr>
      <w:r w:rsidRPr="007960FB">
        <w:t>Presentasjon</w:t>
      </w:r>
      <w:r w:rsidR="00540494">
        <w:t xml:space="preserve"> på konferansen</w:t>
      </w:r>
      <w:r w:rsidR="00A64B07">
        <w:t xml:space="preserve"> og tilbakemeldinger på andres presentasjoner</w:t>
      </w:r>
    </w:p>
    <w:p w14:paraId="7D041B00" w14:textId="77777777" w:rsidR="00106A6C" w:rsidRPr="007960FB" w:rsidRDefault="00540494" w:rsidP="00617C26">
      <w:pPr>
        <w:pStyle w:val="ListParagraph"/>
        <w:numPr>
          <w:ilvl w:val="1"/>
          <w:numId w:val="3"/>
        </w:numPr>
        <w:tabs>
          <w:tab w:val="left" w:pos="6387"/>
        </w:tabs>
      </w:pPr>
      <w:r>
        <w:t>Undervisningsopplegget publiseres på Fremmedspråksenterets nettsted</w:t>
      </w:r>
    </w:p>
    <w:p w14:paraId="218CD666" w14:textId="77777777" w:rsidR="00B5652D" w:rsidRDefault="00106A6C" w:rsidP="00617C26">
      <w:pPr>
        <w:rPr>
          <w:szCs w:val="20"/>
          <w:lang w:eastAsia="nb-NO"/>
        </w:rPr>
      </w:pPr>
      <w:r w:rsidRPr="00106A6C">
        <w:rPr>
          <w:rFonts w:ascii="Arial" w:hAnsi="Arial"/>
          <w:color w:val="000000"/>
          <w:sz w:val="17"/>
          <w:szCs w:val="17"/>
          <w:lang w:eastAsia="nb-NO"/>
        </w:rPr>
        <w:br/>
      </w:r>
    </w:p>
    <w:p w14:paraId="3309C339" w14:textId="77777777" w:rsidR="00B5652D" w:rsidRDefault="00B5652D" w:rsidP="00B5652D">
      <w:pPr>
        <w:pStyle w:val="Heading1"/>
        <w:rPr>
          <w:lang w:eastAsia="nb-NO"/>
        </w:rPr>
      </w:pPr>
      <w:r>
        <w:rPr>
          <w:lang w:eastAsia="nb-NO"/>
        </w:rPr>
        <w:t>Organisering av konferansen:</w:t>
      </w:r>
    </w:p>
    <w:p w14:paraId="18933614" w14:textId="77777777" w:rsidR="00A64B07" w:rsidRDefault="00A64B07" w:rsidP="00A64B07">
      <w:pPr>
        <w:spacing w:after="0"/>
        <w:rPr>
          <w:szCs w:val="20"/>
          <w:lang w:eastAsia="nb-NO"/>
        </w:rPr>
      </w:pPr>
      <w:r>
        <w:rPr>
          <w:szCs w:val="20"/>
          <w:lang w:eastAsia="nb-NO"/>
        </w:rPr>
        <w:t xml:space="preserve">10.mai 2012 Sted: </w:t>
      </w:r>
    </w:p>
    <w:p w14:paraId="628E64F8" w14:textId="77777777" w:rsidR="00B5652D" w:rsidRPr="00B5652D" w:rsidRDefault="00B5652D" w:rsidP="00B5652D"/>
    <w:tbl>
      <w:tblPr>
        <w:tblStyle w:val="TableGrid"/>
        <w:tblW w:w="1017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1668"/>
        <w:gridCol w:w="2126"/>
        <w:gridCol w:w="1843"/>
        <w:gridCol w:w="2126"/>
        <w:gridCol w:w="2410"/>
      </w:tblGrid>
      <w:tr w:rsidR="008C72E5" w14:paraId="0B33E689" w14:textId="77777777" w:rsidTr="00DF3B28">
        <w:tc>
          <w:tcPr>
            <w:tcW w:w="10173" w:type="dxa"/>
            <w:gridSpan w:val="5"/>
            <w:shd w:val="clear" w:color="auto" w:fill="C6D9F1" w:themeFill="text2" w:themeFillTint="33"/>
          </w:tcPr>
          <w:p w14:paraId="0BC477C8" w14:textId="77777777" w:rsidR="008C72E5" w:rsidRDefault="008C72E5" w:rsidP="00617C26">
            <w:pPr>
              <w:rPr>
                <w:szCs w:val="20"/>
                <w:lang w:eastAsia="nb-NO"/>
              </w:rPr>
            </w:pPr>
            <w:r w:rsidRPr="00A64B07">
              <w:rPr>
                <w:b/>
                <w:color w:val="000090"/>
                <w:szCs w:val="20"/>
                <w:lang w:eastAsia="nb-NO"/>
              </w:rPr>
              <w:t>Felles</w:t>
            </w:r>
            <w:r w:rsidR="00A64B07" w:rsidRPr="00A64B07">
              <w:rPr>
                <w:b/>
                <w:color w:val="000090"/>
                <w:szCs w:val="20"/>
                <w:lang w:eastAsia="nb-NO"/>
              </w:rPr>
              <w:t>del</w:t>
            </w:r>
            <w:r w:rsidR="00540494">
              <w:rPr>
                <w:szCs w:val="20"/>
                <w:lang w:eastAsia="nb-NO"/>
              </w:rPr>
              <w:t xml:space="preserve"> </w:t>
            </w:r>
            <w:r w:rsidR="00A64B07">
              <w:rPr>
                <w:szCs w:val="20"/>
                <w:lang w:eastAsia="nb-NO"/>
              </w:rPr>
              <w:t xml:space="preserve">                                                                                                         </w:t>
            </w:r>
            <w:r w:rsidR="002D5FBB" w:rsidRPr="002D5FBB">
              <w:rPr>
                <w:color w:val="8DB3E2" w:themeColor="text2" w:themeTint="66"/>
                <w:szCs w:val="20"/>
                <w:lang w:eastAsia="nb-NO"/>
              </w:rPr>
              <w:t>(</w:t>
            </w:r>
            <w:r w:rsidR="00540494" w:rsidRPr="002D5FBB">
              <w:rPr>
                <w:color w:val="8DB3E2" w:themeColor="text2" w:themeTint="66"/>
                <w:szCs w:val="20"/>
                <w:lang w:eastAsia="nb-NO"/>
              </w:rPr>
              <w:t>rom som dekker 200 deltakere</w:t>
            </w:r>
            <w:r w:rsidR="002D5FBB" w:rsidRPr="002D5FBB">
              <w:rPr>
                <w:color w:val="8DB3E2" w:themeColor="text2" w:themeTint="66"/>
                <w:szCs w:val="20"/>
                <w:lang w:eastAsia="nb-NO"/>
              </w:rPr>
              <w:t>)</w:t>
            </w:r>
          </w:p>
        </w:tc>
      </w:tr>
      <w:tr w:rsidR="008C72E5" w14:paraId="32C9FC8D" w14:textId="77777777" w:rsidTr="00DF3B28">
        <w:tc>
          <w:tcPr>
            <w:tcW w:w="1668" w:type="dxa"/>
          </w:tcPr>
          <w:p w14:paraId="611FD60E" w14:textId="77777777" w:rsidR="00A64B07" w:rsidRDefault="00A64B07" w:rsidP="008C72E5">
            <w:pPr>
              <w:rPr>
                <w:szCs w:val="20"/>
                <w:lang w:eastAsia="nb-NO"/>
              </w:rPr>
            </w:pPr>
          </w:p>
          <w:p w14:paraId="1D63D172" w14:textId="77777777" w:rsidR="008C72E5" w:rsidRDefault="008C72E5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10 00 – 11 30</w:t>
            </w:r>
          </w:p>
          <w:p w14:paraId="1966CDA5" w14:textId="77777777" w:rsidR="008C72E5" w:rsidRDefault="008C72E5" w:rsidP="00617C26">
            <w:pPr>
              <w:rPr>
                <w:szCs w:val="20"/>
                <w:lang w:eastAsia="nb-NO"/>
              </w:rPr>
            </w:pPr>
          </w:p>
        </w:tc>
        <w:tc>
          <w:tcPr>
            <w:tcW w:w="8505" w:type="dxa"/>
            <w:gridSpan w:val="4"/>
          </w:tcPr>
          <w:p w14:paraId="17EBF482" w14:textId="77777777" w:rsidR="00A64B07" w:rsidRDefault="00A64B07" w:rsidP="008C72E5">
            <w:pPr>
              <w:rPr>
                <w:szCs w:val="20"/>
                <w:lang w:eastAsia="nb-NO"/>
              </w:rPr>
            </w:pPr>
          </w:p>
          <w:p w14:paraId="520FD03B" w14:textId="77777777" w:rsidR="008C72E5" w:rsidRPr="00A64B07" w:rsidRDefault="008C72E5" w:rsidP="00A64B07">
            <w:pPr>
              <w:pStyle w:val="ListParagraph"/>
              <w:numPr>
                <w:ilvl w:val="0"/>
                <w:numId w:val="4"/>
              </w:numPr>
              <w:rPr>
                <w:szCs w:val="20"/>
                <w:lang w:eastAsia="nb-NO"/>
              </w:rPr>
            </w:pPr>
            <w:r w:rsidRPr="00A64B07">
              <w:rPr>
                <w:szCs w:val="20"/>
                <w:lang w:eastAsia="nb-NO"/>
              </w:rPr>
              <w:t>Åpning av konferansen: Fremmedspråksenteret/UDIR/Politiker</w:t>
            </w:r>
          </w:p>
          <w:p w14:paraId="43B43955" w14:textId="77777777" w:rsidR="00A64B07" w:rsidRDefault="00A64B07" w:rsidP="008C72E5">
            <w:pPr>
              <w:rPr>
                <w:szCs w:val="20"/>
                <w:lang w:eastAsia="nb-NO"/>
              </w:rPr>
            </w:pPr>
          </w:p>
          <w:p w14:paraId="740839CF" w14:textId="08F0CF75" w:rsidR="00A64B07" w:rsidRPr="00A64B07" w:rsidRDefault="008C72E5" w:rsidP="00A64B07">
            <w:pPr>
              <w:pStyle w:val="ListParagraph"/>
              <w:numPr>
                <w:ilvl w:val="0"/>
                <w:numId w:val="4"/>
              </w:numPr>
              <w:rPr>
                <w:szCs w:val="20"/>
                <w:lang w:eastAsia="nb-NO"/>
              </w:rPr>
            </w:pPr>
            <w:r w:rsidRPr="00A64B07">
              <w:rPr>
                <w:szCs w:val="20"/>
                <w:lang w:eastAsia="nb-NO"/>
              </w:rPr>
              <w:t>Key no</w:t>
            </w:r>
            <w:r w:rsidR="002D5FBB" w:rsidRPr="00A64B07">
              <w:rPr>
                <w:szCs w:val="20"/>
                <w:lang w:eastAsia="nb-NO"/>
              </w:rPr>
              <w:t>te Speaker Simon</w:t>
            </w:r>
            <w:r w:rsidRPr="00A64B07">
              <w:rPr>
                <w:szCs w:val="20"/>
                <w:lang w:eastAsia="nb-NO"/>
              </w:rPr>
              <w:t xml:space="preserve"> Borg Leeds </w:t>
            </w:r>
            <w:proofErr w:type="spellStart"/>
            <w:r w:rsidRPr="00A64B07">
              <w:rPr>
                <w:szCs w:val="20"/>
                <w:lang w:eastAsia="nb-NO"/>
              </w:rPr>
              <w:t>University</w:t>
            </w:r>
            <w:proofErr w:type="spellEnd"/>
            <w:r w:rsidR="00DF3B28">
              <w:rPr>
                <w:szCs w:val="20"/>
                <w:lang w:eastAsia="nb-NO"/>
              </w:rPr>
              <w:t xml:space="preserve"> </w:t>
            </w:r>
            <w:proofErr w:type="spellStart"/>
            <w:r w:rsidR="00DF3B28">
              <w:rPr>
                <w:szCs w:val="20"/>
                <w:lang w:eastAsia="nb-NO"/>
              </w:rPr>
              <w:t>Teacher</w:t>
            </w:r>
            <w:proofErr w:type="spellEnd"/>
            <w:r w:rsidR="00DF3B28">
              <w:rPr>
                <w:szCs w:val="20"/>
                <w:lang w:eastAsia="nb-NO"/>
              </w:rPr>
              <w:t xml:space="preserve"> </w:t>
            </w:r>
            <w:proofErr w:type="spellStart"/>
            <w:r w:rsidR="00DF3B28">
              <w:rPr>
                <w:szCs w:val="20"/>
                <w:lang w:eastAsia="nb-NO"/>
              </w:rPr>
              <w:t>knowledge</w:t>
            </w:r>
            <w:proofErr w:type="spellEnd"/>
            <w:r w:rsidR="00DF3B28">
              <w:rPr>
                <w:szCs w:val="20"/>
                <w:lang w:eastAsia="nb-NO"/>
              </w:rPr>
              <w:t xml:space="preserve"> and </w:t>
            </w:r>
            <w:proofErr w:type="spellStart"/>
            <w:r w:rsidR="00DF3B28">
              <w:rPr>
                <w:szCs w:val="20"/>
                <w:lang w:eastAsia="nb-NO"/>
              </w:rPr>
              <w:t>teacher</w:t>
            </w:r>
            <w:proofErr w:type="spellEnd"/>
            <w:r w:rsidR="00DF3B28">
              <w:rPr>
                <w:szCs w:val="20"/>
                <w:lang w:eastAsia="nb-NO"/>
              </w:rPr>
              <w:t xml:space="preserve"> teaching.</w:t>
            </w:r>
          </w:p>
          <w:p w14:paraId="7A9EA26C" w14:textId="77777777" w:rsidR="008C72E5" w:rsidRDefault="008C72E5" w:rsidP="008C72E5">
            <w:pPr>
              <w:rPr>
                <w:szCs w:val="20"/>
                <w:lang w:eastAsia="nb-NO"/>
              </w:rPr>
            </w:pPr>
          </w:p>
        </w:tc>
      </w:tr>
      <w:tr w:rsidR="008C72E5" w14:paraId="7D60EC27" w14:textId="77777777" w:rsidTr="00DF3B28">
        <w:tc>
          <w:tcPr>
            <w:tcW w:w="1668" w:type="dxa"/>
          </w:tcPr>
          <w:p w14:paraId="09EA75AF" w14:textId="77777777" w:rsidR="008C72E5" w:rsidRDefault="008C72E5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11 30 – 12 30</w:t>
            </w:r>
          </w:p>
        </w:tc>
        <w:tc>
          <w:tcPr>
            <w:tcW w:w="8505" w:type="dxa"/>
            <w:gridSpan w:val="4"/>
          </w:tcPr>
          <w:p w14:paraId="02B1607E" w14:textId="77777777" w:rsidR="00A64B07" w:rsidRDefault="00A64B07" w:rsidP="00617C26">
            <w:pPr>
              <w:rPr>
                <w:szCs w:val="20"/>
                <w:lang w:eastAsia="nb-NO"/>
              </w:rPr>
            </w:pPr>
          </w:p>
          <w:p w14:paraId="69CF71CD" w14:textId="77777777" w:rsidR="00A64B07" w:rsidRDefault="008C72E5" w:rsidP="00A64B07">
            <w:pPr>
              <w:ind w:left="720"/>
              <w:rPr>
                <w:szCs w:val="20"/>
                <w:lang w:eastAsia="nb-NO"/>
              </w:rPr>
            </w:pPr>
            <w:proofErr w:type="spellStart"/>
            <w:r>
              <w:rPr>
                <w:szCs w:val="20"/>
                <w:lang w:eastAsia="nb-NO"/>
              </w:rPr>
              <w:t>Lunch</w:t>
            </w:r>
            <w:proofErr w:type="spellEnd"/>
          </w:p>
          <w:p w14:paraId="564DAFDF" w14:textId="77777777" w:rsidR="008C72E5" w:rsidRDefault="008C72E5" w:rsidP="00617C26">
            <w:pPr>
              <w:rPr>
                <w:szCs w:val="20"/>
                <w:lang w:eastAsia="nb-NO"/>
              </w:rPr>
            </w:pPr>
          </w:p>
        </w:tc>
      </w:tr>
      <w:tr w:rsidR="008C72E5" w14:paraId="506A117B" w14:textId="77777777" w:rsidTr="00DF3B28">
        <w:tc>
          <w:tcPr>
            <w:tcW w:w="10173" w:type="dxa"/>
            <w:gridSpan w:val="5"/>
            <w:shd w:val="clear" w:color="auto" w:fill="DBE5F1" w:themeFill="accent1" w:themeFillTint="33"/>
          </w:tcPr>
          <w:p w14:paraId="0A5094D3" w14:textId="77777777" w:rsidR="008C72E5" w:rsidRDefault="00A64B07" w:rsidP="00617C26">
            <w:pPr>
              <w:rPr>
                <w:szCs w:val="20"/>
                <w:lang w:eastAsia="nb-NO"/>
              </w:rPr>
            </w:pPr>
            <w:r w:rsidRPr="00A64B07">
              <w:rPr>
                <w:b/>
                <w:color w:val="000090"/>
                <w:szCs w:val="20"/>
                <w:lang w:eastAsia="nb-NO"/>
              </w:rPr>
              <w:t>Seminardel</w:t>
            </w:r>
            <w:r w:rsidR="00540494">
              <w:rPr>
                <w:szCs w:val="20"/>
                <w:lang w:eastAsia="nb-NO"/>
              </w:rPr>
              <w:t xml:space="preserve"> </w:t>
            </w:r>
            <w:r>
              <w:rPr>
                <w:szCs w:val="20"/>
                <w:lang w:eastAsia="nb-NO"/>
              </w:rPr>
              <w:t xml:space="preserve">                                                                                              </w:t>
            </w:r>
            <w:r w:rsidR="002D5FBB" w:rsidRPr="00A64B07">
              <w:rPr>
                <w:color w:val="8DB3E2" w:themeColor="text2" w:themeTint="66"/>
                <w:szCs w:val="20"/>
                <w:lang w:eastAsia="nb-NO"/>
              </w:rPr>
              <w:t>(</w:t>
            </w:r>
            <w:r w:rsidR="00540494" w:rsidRPr="00A64B07">
              <w:rPr>
                <w:color w:val="8DB3E2" w:themeColor="text2" w:themeTint="66"/>
                <w:szCs w:val="20"/>
                <w:lang w:eastAsia="nb-NO"/>
              </w:rPr>
              <w:t>som rommer  opp til 40 deltakere</w:t>
            </w:r>
            <w:r w:rsidR="002D5FBB" w:rsidRPr="00A64B07">
              <w:rPr>
                <w:color w:val="8DB3E2" w:themeColor="text2" w:themeTint="66"/>
                <w:szCs w:val="20"/>
                <w:lang w:eastAsia="nb-NO"/>
              </w:rPr>
              <w:t>)</w:t>
            </w:r>
            <w:r w:rsidR="00540494">
              <w:rPr>
                <w:szCs w:val="20"/>
                <w:lang w:eastAsia="nb-NO"/>
              </w:rPr>
              <w:t xml:space="preserve"> </w:t>
            </w:r>
          </w:p>
        </w:tc>
      </w:tr>
      <w:tr w:rsidR="00A64B07" w:rsidRPr="002D5FBB" w14:paraId="1A7C795C" w14:textId="77777777" w:rsidTr="00DF3B28">
        <w:tc>
          <w:tcPr>
            <w:tcW w:w="1668" w:type="dxa"/>
          </w:tcPr>
          <w:p w14:paraId="102D89AE" w14:textId="77777777" w:rsidR="00A64B07" w:rsidRDefault="00A64B07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12 30 – 18 00</w:t>
            </w:r>
          </w:p>
        </w:tc>
        <w:tc>
          <w:tcPr>
            <w:tcW w:w="8505" w:type="dxa"/>
            <w:gridSpan w:val="4"/>
          </w:tcPr>
          <w:p w14:paraId="3E07A490" w14:textId="77777777" w:rsidR="00A64B07" w:rsidRDefault="00A64B07" w:rsidP="008C72E5">
            <w:pPr>
              <w:rPr>
                <w:szCs w:val="20"/>
                <w:lang w:eastAsia="nb-NO"/>
              </w:rPr>
            </w:pPr>
          </w:p>
          <w:p w14:paraId="464105AC" w14:textId="77777777" w:rsidR="00A64B07" w:rsidRPr="00DA78ED" w:rsidRDefault="00DA78ED" w:rsidP="00DA78ED">
            <w:pPr>
              <w:pStyle w:val="ListParagraph"/>
              <w:numPr>
                <w:ilvl w:val="0"/>
                <w:numId w:val="5"/>
              </w:numPr>
              <w:rPr>
                <w:szCs w:val="20"/>
                <w:lang w:eastAsia="nb-NO"/>
              </w:rPr>
            </w:pPr>
            <w:r w:rsidRPr="00DA78ED">
              <w:rPr>
                <w:szCs w:val="20"/>
                <w:lang w:eastAsia="nb-NO"/>
              </w:rPr>
              <w:t xml:space="preserve">Deling av erfaringer </w:t>
            </w:r>
            <w:r w:rsidR="00A64B07" w:rsidRPr="00DA78ED">
              <w:rPr>
                <w:szCs w:val="20"/>
                <w:lang w:eastAsia="nb-NO"/>
              </w:rPr>
              <w:t>fra etterutdanningen i forsøket med tilbakemelding fra to andre grupper og en påfølgende diskusjon blant deltakerne.</w:t>
            </w:r>
          </w:p>
          <w:p w14:paraId="47837DC3" w14:textId="77777777" w:rsidR="00A64B07" w:rsidRPr="002D5FBB" w:rsidRDefault="00A64B07" w:rsidP="008C72E5">
            <w:pPr>
              <w:rPr>
                <w:color w:val="000090"/>
                <w:szCs w:val="20"/>
                <w:lang w:eastAsia="nb-NO"/>
              </w:rPr>
            </w:pPr>
          </w:p>
        </w:tc>
      </w:tr>
      <w:tr w:rsidR="00DF3B28" w:rsidRPr="002D5FBB" w14:paraId="427824CA" w14:textId="77777777" w:rsidTr="00DF3B28">
        <w:tc>
          <w:tcPr>
            <w:tcW w:w="1668" w:type="dxa"/>
            <w:shd w:val="clear" w:color="auto" w:fill="EAF1DD" w:themeFill="accent3" w:themeFillTint="33"/>
          </w:tcPr>
          <w:p w14:paraId="344877E5" w14:textId="77777777" w:rsidR="00DF3B28" w:rsidRPr="00DA78ED" w:rsidRDefault="00DF3B28" w:rsidP="00DA78ED">
            <w:pPr>
              <w:rPr>
                <w:b/>
                <w:color w:val="008000"/>
                <w:szCs w:val="20"/>
                <w:lang w:eastAsia="nb-NO"/>
              </w:rPr>
            </w:pPr>
            <w:r w:rsidRPr="00DA78ED">
              <w:rPr>
                <w:b/>
                <w:color w:val="008000"/>
                <w:szCs w:val="20"/>
                <w:lang w:eastAsia="nb-NO"/>
              </w:rPr>
              <w:t xml:space="preserve">Utviklings-arbeid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B2C4BE1" w14:textId="63FA57C3" w:rsidR="00DF3B28" w:rsidRPr="00DA78ED" w:rsidRDefault="00DF3B28" w:rsidP="000B2E8E">
            <w:pPr>
              <w:rPr>
                <w:color w:val="008000"/>
                <w:szCs w:val="20"/>
                <w:lang w:eastAsia="nb-NO"/>
              </w:rPr>
            </w:pPr>
            <w:r>
              <w:rPr>
                <w:color w:val="008000"/>
                <w:szCs w:val="20"/>
                <w:lang w:eastAsia="nb-NO"/>
              </w:rPr>
              <w:t>Tema 0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14:paraId="24FE3551" w14:textId="7C1F5B24" w:rsidR="00DF3B28" w:rsidRPr="00DA78ED" w:rsidRDefault="00DF3B28" w:rsidP="008C72E5">
            <w:pPr>
              <w:rPr>
                <w:color w:val="008000"/>
                <w:szCs w:val="20"/>
                <w:lang w:eastAsia="nb-NO"/>
              </w:rPr>
            </w:pPr>
            <w:r>
              <w:rPr>
                <w:color w:val="008000"/>
                <w:szCs w:val="20"/>
                <w:lang w:eastAsia="nb-NO"/>
              </w:rPr>
              <w:t>Tema 10</w:t>
            </w:r>
          </w:p>
          <w:p w14:paraId="475022FE" w14:textId="77777777" w:rsidR="00DF3B28" w:rsidRPr="00DA78ED" w:rsidRDefault="00DF3B28" w:rsidP="008C72E5">
            <w:pPr>
              <w:rPr>
                <w:color w:val="008000"/>
                <w:szCs w:val="20"/>
                <w:lang w:eastAsia="nb-NO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0E6B1411" w14:textId="2972786C" w:rsidR="00DF3B28" w:rsidRPr="00DA78ED" w:rsidRDefault="00DF3B28" w:rsidP="008C72E5">
            <w:pPr>
              <w:rPr>
                <w:color w:val="008000"/>
                <w:szCs w:val="20"/>
                <w:lang w:eastAsia="nb-NO"/>
              </w:rPr>
            </w:pPr>
            <w:r>
              <w:rPr>
                <w:color w:val="008000"/>
                <w:szCs w:val="20"/>
                <w:lang w:eastAsia="nb-NO"/>
              </w:rPr>
              <w:t>Tema 20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14:paraId="3CED891F" w14:textId="576D5E77" w:rsidR="00DF3B28" w:rsidRPr="00DA78ED" w:rsidRDefault="00DF3B28" w:rsidP="008C72E5">
            <w:pPr>
              <w:rPr>
                <w:color w:val="008000"/>
                <w:szCs w:val="20"/>
                <w:lang w:eastAsia="nb-NO"/>
              </w:rPr>
            </w:pPr>
            <w:r>
              <w:rPr>
                <w:color w:val="008000"/>
                <w:szCs w:val="20"/>
                <w:lang w:eastAsia="nb-NO"/>
              </w:rPr>
              <w:t>Tema 30</w:t>
            </w:r>
          </w:p>
          <w:p w14:paraId="7FB245E5" w14:textId="77777777" w:rsidR="00DF3B28" w:rsidRPr="00DA78ED" w:rsidRDefault="00DF3B28" w:rsidP="008C72E5">
            <w:pPr>
              <w:rPr>
                <w:color w:val="008000"/>
                <w:szCs w:val="20"/>
                <w:lang w:eastAsia="nb-NO"/>
              </w:rPr>
            </w:pPr>
          </w:p>
        </w:tc>
      </w:tr>
      <w:tr w:rsidR="00DF3B28" w:rsidRPr="002D5FBB" w14:paraId="216FB82C" w14:textId="77777777" w:rsidTr="00DF3B28">
        <w:tc>
          <w:tcPr>
            <w:tcW w:w="1668" w:type="dxa"/>
            <w:shd w:val="clear" w:color="auto" w:fill="EAF1DD" w:themeFill="accent3" w:themeFillTint="33"/>
          </w:tcPr>
          <w:p w14:paraId="1628426F" w14:textId="77777777" w:rsidR="00DF3B28" w:rsidRPr="00DA78ED" w:rsidRDefault="00DF3B28" w:rsidP="00617C26">
            <w:pPr>
              <w:rPr>
                <w:color w:val="000090"/>
                <w:szCs w:val="20"/>
                <w:lang w:eastAsia="nb-NO"/>
              </w:rPr>
            </w:pPr>
            <w:r w:rsidRPr="00DA78ED">
              <w:rPr>
                <w:color w:val="000090"/>
                <w:szCs w:val="20"/>
                <w:lang w:eastAsia="nb-NO"/>
              </w:rPr>
              <w:t>Grupperom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21896921" w14:textId="4F738BE6" w:rsidR="00DF3B28" w:rsidRPr="002D5FBB" w:rsidRDefault="00DF3B28" w:rsidP="00617C26">
            <w:pPr>
              <w:rPr>
                <w:color w:val="000090"/>
                <w:szCs w:val="20"/>
                <w:lang w:eastAsia="nb-NO"/>
              </w:rPr>
            </w:pPr>
            <w:r w:rsidRPr="002D5FBB">
              <w:rPr>
                <w:color w:val="000090"/>
                <w:szCs w:val="20"/>
                <w:lang w:eastAsia="nb-NO"/>
              </w:rPr>
              <w:t>Rom</w:t>
            </w:r>
            <w:r>
              <w:rPr>
                <w:color w:val="000090"/>
                <w:szCs w:val="20"/>
                <w:lang w:eastAsia="nb-NO"/>
              </w:rPr>
              <w:t xml:space="preserve"> 0-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14:paraId="2F92D16F" w14:textId="1605B194" w:rsidR="00DF3B28" w:rsidRPr="002D5FBB" w:rsidRDefault="00DF3B28" w:rsidP="008C72E5">
            <w:pPr>
              <w:rPr>
                <w:color w:val="000090"/>
                <w:szCs w:val="20"/>
                <w:lang w:eastAsia="nb-NO"/>
              </w:rPr>
            </w:pPr>
            <w:r w:rsidRPr="002D5FBB">
              <w:rPr>
                <w:color w:val="000090"/>
                <w:szCs w:val="20"/>
                <w:lang w:eastAsia="nb-NO"/>
              </w:rPr>
              <w:t>Rom</w:t>
            </w:r>
            <w:r>
              <w:rPr>
                <w:color w:val="000090"/>
                <w:szCs w:val="20"/>
                <w:lang w:eastAsia="nb-NO"/>
              </w:rPr>
              <w:t xml:space="preserve"> 10-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2E795CE0" w14:textId="737A3728" w:rsidR="00DF3B28" w:rsidRPr="002D5FBB" w:rsidRDefault="00DF3B28" w:rsidP="008C72E5">
            <w:pPr>
              <w:rPr>
                <w:color w:val="000090"/>
                <w:szCs w:val="20"/>
                <w:lang w:eastAsia="nb-NO"/>
              </w:rPr>
            </w:pPr>
            <w:r w:rsidRPr="002D5FBB">
              <w:rPr>
                <w:color w:val="000090"/>
                <w:szCs w:val="20"/>
                <w:lang w:eastAsia="nb-NO"/>
              </w:rPr>
              <w:t>Rom</w:t>
            </w:r>
            <w:r>
              <w:rPr>
                <w:color w:val="000090"/>
                <w:szCs w:val="20"/>
                <w:lang w:eastAsia="nb-NO"/>
              </w:rPr>
              <w:t xml:space="preserve"> 20-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14:paraId="00ECD725" w14:textId="32A2E2CF" w:rsidR="00DF3B28" w:rsidRPr="002D5FBB" w:rsidRDefault="00DF3B28" w:rsidP="008C72E5">
            <w:pPr>
              <w:rPr>
                <w:color w:val="000090"/>
                <w:szCs w:val="20"/>
                <w:lang w:eastAsia="nb-NO"/>
              </w:rPr>
            </w:pPr>
            <w:r w:rsidRPr="002D5FBB">
              <w:rPr>
                <w:color w:val="000090"/>
                <w:szCs w:val="20"/>
                <w:lang w:eastAsia="nb-NO"/>
              </w:rPr>
              <w:t>Rom</w:t>
            </w:r>
            <w:r>
              <w:rPr>
                <w:color w:val="000090"/>
                <w:szCs w:val="20"/>
                <w:lang w:eastAsia="nb-NO"/>
              </w:rPr>
              <w:t xml:space="preserve"> 30-</w:t>
            </w:r>
            <w:bookmarkStart w:id="0" w:name="_GoBack"/>
            <w:bookmarkEnd w:id="0"/>
          </w:p>
        </w:tc>
      </w:tr>
      <w:tr w:rsidR="00DF3B28" w14:paraId="10646DE7" w14:textId="77777777" w:rsidTr="00DF3B28">
        <w:tc>
          <w:tcPr>
            <w:tcW w:w="1668" w:type="dxa"/>
            <w:shd w:val="clear" w:color="auto" w:fill="EAF1DD" w:themeFill="accent3" w:themeFillTint="33"/>
          </w:tcPr>
          <w:p w14:paraId="55F922F9" w14:textId="77777777" w:rsidR="00DF3B28" w:rsidRDefault="00DF3B28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12 30 - 14 00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1BF8861" w14:textId="77777777" w:rsidR="00DF3B28" w:rsidRDefault="00DF3B28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1</w:t>
            </w:r>
          </w:p>
          <w:p w14:paraId="3BDFD232" w14:textId="77777777" w:rsidR="00DF3B28" w:rsidRDefault="00DF3B28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2</w:t>
            </w:r>
          </w:p>
          <w:p w14:paraId="148FA3A8" w14:textId="77777777" w:rsidR="00DF3B28" w:rsidRDefault="00DF3B28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3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14:paraId="65860F30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11</w:t>
            </w:r>
          </w:p>
          <w:p w14:paraId="63019640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12</w:t>
            </w:r>
          </w:p>
          <w:p w14:paraId="4EEE1214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13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1E387AA2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21</w:t>
            </w:r>
          </w:p>
          <w:p w14:paraId="77C56BDE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22</w:t>
            </w:r>
          </w:p>
          <w:p w14:paraId="6BC82DBD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23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14:paraId="798FA2DE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31</w:t>
            </w:r>
          </w:p>
          <w:p w14:paraId="16681E8E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32</w:t>
            </w:r>
          </w:p>
          <w:p w14:paraId="3368E376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33</w:t>
            </w:r>
          </w:p>
          <w:p w14:paraId="59EAF058" w14:textId="77777777" w:rsidR="00DF3B28" w:rsidRDefault="00DF3B28" w:rsidP="008C72E5">
            <w:pPr>
              <w:rPr>
                <w:szCs w:val="20"/>
                <w:lang w:eastAsia="nb-NO"/>
              </w:rPr>
            </w:pPr>
          </w:p>
        </w:tc>
      </w:tr>
      <w:tr w:rsidR="00DF3B28" w14:paraId="10F512C1" w14:textId="77777777" w:rsidTr="00DF3B28">
        <w:tc>
          <w:tcPr>
            <w:tcW w:w="1668" w:type="dxa"/>
            <w:shd w:val="clear" w:color="auto" w:fill="EAF1DD" w:themeFill="accent3" w:themeFillTint="33"/>
          </w:tcPr>
          <w:p w14:paraId="77D8E79E" w14:textId="77777777" w:rsidR="00DF3B28" w:rsidRDefault="00DF3B28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14 30 – 16 00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73A9B26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4</w:t>
            </w:r>
          </w:p>
          <w:p w14:paraId="7E5ED94B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5</w:t>
            </w:r>
          </w:p>
          <w:p w14:paraId="17C2FFF2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6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14:paraId="2EE19765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14</w:t>
            </w:r>
          </w:p>
          <w:p w14:paraId="1F79C52D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15</w:t>
            </w:r>
          </w:p>
          <w:p w14:paraId="1D8E0DC4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16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DB2D771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24</w:t>
            </w:r>
          </w:p>
          <w:p w14:paraId="00FFEF95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25</w:t>
            </w:r>
          </w:p>
          <w:p w14:paraId="7596DF66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26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14:paraId="380535B5" w14:textId="77777777" w:rsidR="00DF3B28" w:rsidRDefault="00DF3B28" w:rsidP="00540494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34</w:t>
            </w:r>
          </w:p>
          <w:p w14:paraId="3AEA241D" w14:textId="77777777" w:rsidR="00DF3B28" w:rsidRDefault="00DF3B28" w:rsidP="00540494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35</w:t>
            </w:r>
          </w:p>
          <w:p w14:paraId="437851B0" w14:textId="77777777" w:rsidR="00DF3B28" w:rsidRDefault="00DF3B28" w:rsidP="00540494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36</w:t>
            </w:r>
          </w:p>
          <w:p w14:paraId="79E2AF04" w14:textId="77777777" w:rsidR="00DF3B28" w:rsidRDefault="00DF3B28" w:rsidP="00540494">
            <w:pPr>
              <w:rPr>
                <w:szCs w:val="20"/>
                <w:lang w:eastAsia="nb-NO"/>
              </w:rPr>
            </w:pPr>
          </w:p>
        </w:tc>
      </w:tr>
      <w:tr w:rsidR="00DF3B28" w14:paraId="6A6B8EEE" w14:textId="77777777" w:rsidTr="00DF3B28">
        <w:tc>
          <w:tcPr>
            <w:tcW w:w="1668" w:type="dxa"/>
            <w:shd w:val="clear" w:color="auto" w:fill="EAF1DD" w:themeFill="accent3" w:themeFillTint="33"/>
          </w:tcPr>
          <w:p w14:paraId="24DD3F05" w14:textId="77777777" w:rsidR="00DF3B28" w:rsidRDefault="00DF3B28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16 30 – 18 00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6C7728A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7</w:t>
            </w:r>
          </w:p>
          <w:p w14:paraId="3C81FC2A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8</w:t>
            </w:r>
          </w:p>
          <w:p w14:paraId="61B39D8A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9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14:paraId="42AF9F82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17</w:t>
            </w:r>
          </w:p>
          <w:p w14:paraId="6687190A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18</w:t>
            </w:r>
          </w:p>
          <w:p w14:paraId="67D8742A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19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5ED5FCC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27</w:t>
            </w:r>
          </w:p>
          <w:p w14:paraId="2E810E92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28</w:t>
            </w:r>
          </w:p>
          <w:p w14:paraId="2818BB73" w14:textId="77777777" w:rsidR="00DF3B28" w:rsidRDefault="00DF3B28" w:rsidP="008C72E5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29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14:paraId="57DBFE65" w14:textId="77777777" w:rsidR="00DF3B28" w:rsidRDefault="00DF3B28" w:rsidP="00540494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37</w:t>
            </w:r>
          </w:p>
          <w:p w14:paraId="2DBB5DCE" w14:textId="77777777" w:rsidR="00DF3B28" w:rsidRDefault="00DF3B28" w:rsidP="00540494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38</w:t>
            </w:r>
          </w:p>
          <w:p w14:paraId="080A7E02" w14:textId="77777777" w:rsidR="00DF3B28" w:rsidRDefault="00DF3B28" w:rsidP="00540494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 39</w:t>
            </w:r>
          </w:p>
        </w:tc>
      </w:tr>
    </w:tbl>
    <w:p w14:paraId="3B571F9F" w14:textId="77777777" w:rsidR="00B5652D" w:rsidRDefault="00B5652D" w:rsidP="00617C26">
      <w:pPr>
        <w:rPr>
          <w:szCs w:val="20"/>
          <w:lang w:eastAsia="nb-NO"/>
        </w:rPr>
      </w:pPr>
    </w:p>
    <w:p w14:paraId="1864E477" w14:textId="77777777" w:rsidR="00217A1D" w:rsidRDefault="00217A1D" w:rsidP="00110CEA">
      <w:pPr>
        <w:pStyle w:val="Heading1"/>
        <w:rPr>
          <w:lang w:eastAsia="nb-NO"/>
        </w:rPr>
      </w:pPr>
      <w:r>
        <w:rPr>
          <w:lang w:eastAsia="nb-NO"/>
        </w:rPr>
        <w:br w:type="page"/>
        <w:t>SKISSE FOR Utviklingsarbeidet i region nord</w:t>
      </w:r>
    </w:p>
    <w:p w14:paraId="719D6A91" w14:textId="77777777" w:rsidR="00217A1D" w:rsidRDefault="00217A1D" w:rsidP="00617C26">
      <w:pPr>
        <w:rPr>
          <w:szCs w:val="20"/>
          <w:lang w:eastAsia="nb-NO"/>
        </w:rPr>
      </w:pPr>
      <w:r>
        <w:rPr>
          <w:szCs w:val="20"/>
          <w:lang w:eastAsia="nb-NO"/>
        </w:rPr>
        <w:t xml:space="preserve">Ledelse: Torlaug </w:t>
      </w:r>
      <w:proofErr w:type="spellStart"/>
      <w:r>
        <w:rPr>
          <w:szCs w:val="20"/>
          <w:lang w:eastAsia="nb-NO"/>
        </w:rPr>
        <w:t>Løkensgar</w:t>
      </w:r>
      <w:proofErr w:type="spellEnd"/>
      <w:r>
        <w:rPr>
          <w:szCs w:val="20"/>
          <w:lang w:eastAsia="nb-NO"/>
        </w:rPr>
        <w:t xml:space="preserve"> Hoel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518"/>
        <w:gridCol w:w="4536"/>
        <w:gridCol w:w="3058"/>
      </w:tblGrid>
      <w:tr w:rsidR="00217A1D" w14:paraId="53BBDE9F" w14:textId="77777777">
        <w:tc>
          <w:tcPr>
            <w:tcW w:w="2518" w:type="dxa"/>
            <w:shd w:val="clear" w:color="auto" w:fill="F2F2F2" w:themeFill="background1" w:themeFillShade="F2"/>
          </w:tcPr>
          <w:p w14:paraId="3F0E2580" w14:textId="77777777" w:rsidR="00217A1D" w:rsidRPr="00217A1D" w:rsidRDefault="00110CEA" w:rsidP="00617C26">
            <w:pPr>
              <w:rPr>
                <w:b/>
                <w:szCs w:val="20"/>
                <w:lang w:eastAsia="nb-NO"/>
              </w:rPr>
            </w:pPr>
            <w:r>
              <w:rPr>
                <w:b/>
                <w:szCs w:val="20"/>
                <w:lang w:eastAsia="nb-NO"/>
              </w:rPr>
              <w:t>Forelesninger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1CC17DD6" w14:textId="77777777" w:rsidR="00217A1D" w:rsidRPr="00217A1D" w:rsidRDefault="00217A1D" w:rsidP="00617C26">
            <w:pPr>
              <w:rPr>
                <w:b/>
                <w:szCs w:val="20"/>
                <w:lang w:eastAsia="nb-NO"/>
              </w:rPr>
            </w:pPr>
            <w:r w:rsidRPr="00217A1D">
              <w:rPr>
                <w:b/>
                <w:szCs w:val="20"/>
                <w:lang w:eastAsia="nb-NO"/>
              </w:rPr>
              <w:t>Samlingene</w:t>
            </w:r>
          </w:p>
        </w:tc>
        <w:tc>
          <w:tcPr>
            <w:tcW w:w="3058" w:type="dxa"/>
            <w:shd w:val="clear" w:color="auto" w:fill="F2F2F2" w:themeFill="background1" w:themeFillShade="F2"/>
          </w:tcPr>
          <w:p w14:paraId="46054885" w14:textId="77777777" w:rsidR="00217A1D" w:rsidRPr="00217A1D" w:rsidRDefault="00217A1D" w:rsidP="00617C26">
            <w:pPr>
              <w:rPr>
                <w:b/>
                <w:szCs w:val="20"/>
                <w:lang w:eastAsia="nb-NO"/>
              </w:rPr>
            </w:pPr>
            <w:r w:rsidRPr="00217A1D">
              <w:rPr>
                <w:b/>
                <w:szCs w:val="20"/>
                <w:lang w:eastAsia="nb-NO"/>
              </w:rPr>
              <w:t>Teori</w:t>
            </w:r>
            <w:r w:rsidR="00110CEA">
              <w:rPr>
                <w:b/>
                <w:szCs w:val="20"/>
                <w:lang w:eastAsia="nb-NO"/>
              </w:rPr>
              <w:t xml:space="preserve"> 6 artikler</w:t>
            </w:r>
          </w:p>
        </w:tc>
      </w:tr>
      <w:tr w:rsidR="004D216D" w14:paraId="645E9B28" w14:textId="77777777">
        <w:tc>
          <w:tcPr>
            <w:tcW w:w="2518" w:type="dxa"/>
            <w:shd w:val="clear" w:color="auto" w:fill="F2F2F2" w:themeFill="background1" w:themeFillShade="F2"/>
          </w:tcPr>
          <w:p w14:paraId="69585E77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Dette er kompetansemiljøets faglige bidrag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7E2CD9DD" w14:textId="77777777" w:rsidR="004D216D" w:rsidRDefault="004D216D" w:rsidP="004D216D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Dette er din forberedelse frem til konferansen</w:t>
            </w:r>
          </w:p>
        </w:tc>
        <w:tc>
          <w:tcPr>
            <w:tcW w:w="3058" w:type="dxa"/>
            <w:shd w:val="clear" w:color="auto" w:fill="F2F2F2" w:themeFill="background1" w:themeFillShade="F2"/>
          </w:tcPr>
          <w:p w14:paraId="19AEDCF0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Dette er det teoretiske bakteppet for arbeidet i presentasjonen din.</w:t>
            </w:r>
          </w:p>
        </w:tc>
      </w:tr>
      <w:tr w:rsidR="004D216D" w14:paraId="0986D136" w14:textId="77777777">
        <w:tc>
          <w:tcPr>
            <w:tcW w:w="2518" w:type="dxa"/>
          </w:tcPr>
          <w:p w14:paraId="1C7341AC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1 time undervisning, modellering</w:t>
            </w:r>
          </w:p>
        </w:tc>
        <w:tc>
          <w:tcPr>
            <w:tcW w:w="4536" w:type="dxa"/>
          </w:tcPr>
          <w:p w14:paraId="0CAB2BCB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SKRIVING – logg</w:t>
            </w:r>
          </w:p>
          <w:p w14:paraId="1DBBC917" w14:textId="77777777" w:rsidR="004D216D" w:rsidRDefault="004D216D" w:rsidP="00617C26">
            <w:pPr>
              <w:rPr>
                <w:szCs w:val="20"/>
                <w:lang w:eastAsia="nb-NO"/>
              </w:rPr>
            </w:pPr>
          </w:p>
          <w:p w14:paraId="481E2FA0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Tema: Lesing og lytting.</w:t>
            </w:r>
          </w:p>
          <w:p w14:paraId="4915F6C6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Grupper etableres ( 3+)</w:t>
            </w:r>
          </w:p>
        </w:tc>
        <w:tc>
          <w:tcPr>
            <w:tcW w:w="3058" w:type="dxa"/>
          </w:tcPr>
          <w:p w14:paraId="6AA8E81D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 xml:space="preserve">Før Les + skriv </w:t>
            </w:r>
          </w:p>
          <w:p w14:paraId="6CDD86BC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Etter</w:t>
            </w:r>
          </w:p>
        </w:tc>
      </w:tr>
      <w:tr w:rsidR="004D216D" w14:paraId="2F676449" w14:textId="77777777">
        <w:tc>
          <w:tcPr>
            <w:tcW w:w="2518" w:type="dxa"/>
          </w:tcPr>
          <w:p w14:paraId="1414C249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1 time undervisning</w:t>
            </w:r>
          </w:p>
        </w:tc>
        <w:tc>
          <w:tcPr>
            <w:tcW w:w="4536" w:type="dxa"/>
          </w:tcPr>
          <w:p w14:paraId="7B6E30CD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REFLEKSJONSMODELLEN – logg</w:t>
            </w:r>
          </w:p>
          <w:p w14:paraId="4D5310D9" w14:textId="77777777" w:rsidR="004D216D" w:rsidRDefault="004D216D" w:rsidP="00617C26">
            <w:pPr>
              <w:rPr>
                <w:szCs w:val="20"/>
                <w:lang w:eastAsia="nb-NO"/>
              </w:rPr>
            </w:pPr>
          </w:p>
          <w:p w14:paraId="06BA2FB9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Tema: Muntlighet</w:t>
            </w:r>
          </w:p>
          <w:p w14:paraId="2FC58C59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Utvikle tema og en problemstilling</w:t>
            </w:r>
          </w:p>
        </w:tc>
        <w:tc>
          <w:tcPr>
            <w:tcW w:w="3058" w:type="dxa"/>
          </w:tcPr>
          <w:p w14:paraId="48A5F864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Før</w:t>
            </w:r>
          </w:p>
          <w:p w14:paraId="2236E7CD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Etter</w:t>
            </w:r>
          </w:p>
        </w:tc>
      </w:tr>
      <w:tr w:rsidR="004D216D" w14:paraId="07784344" w14:textId="77777777">
        <w:tc>
          <w:tcPr>
            <w:tcW w:w="2518" w:type="dxa"/>
          </w:tcPr>
          <w:p w14:paraId="2C7F22EE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1 time undervisning</w:t>
            </w:r>
          </w:p>
        </w:tc>
        <w:tc>
          <w:tcPr>
            <w:tcW w:w="4536" w:type="dxa"/>
          </w:tcPr>
          <w:p w14:paraId="246BD935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ERFARINGER – logg</w:t>
            </w:r>
          </w:p>
          <w:p w14:paraId="58788A70" w14:textId="77777777" w:rsidR="004D216D" w:rsidRDefault="004D216D" w:rsidP="00617C26">
            <w:pPr>
              <w:rPr>
                <w:szCs w:val="20"/>
                <w:lang w:eastAsia="nb-NO"/>
              </w:rPr>
            </w:pPr>
          </w:p>
          <w:p w14:paraId="2363CFC5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Tema: Kreativitet og skriftlighet</w:t>
            </w:r>
          </w:p>
          <w:p w14:paraId="47266D51" w14:textId="77777777" w:rsidR="004D216D" w:rsidRDefault="004D216D" w:rsidP="004D216D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Utkast presenteres - feedback</w:t>
            </w:r>
          </w:p>
        </w:tc>
        <w:tc>
          <w:tcPr>
            <w:tcW w:w="3058" w:type="dxa"/>
          </w:tcPr>
          <w:p w14:paraId="283C9179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Før</w:t>
            </w:r>
          </w:p>
          <w:p w14:paraId="36A588A7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Etter</w:t>
            </w:r>
          </w:p>
        </w:tc>
      </w:tr>
      <w:tr w:rsidR="004D216D" w14:paraId="72AF88AF" w14:textId="77777777">
        <w:tc>
          <w:tcPr>
            <w:tcW w:w="2518" w:type="dxa"/>
          </w:tcPr>
          <w:p w14:paraId="2BB93DF4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 xml:space="preserve">Veiledning av </w:t>
            </w:r>
            <w:proofErr w:type="spellStart"/>
            <w:r>
              <w:rPr>
                <w:szCs w:val="20"/>
                <w:lang w:eastAsia="nb-NO"/>
              </w:rPr>
              <w:t>faglærerene</w:t>
            </w:r>
            <w:proofErr w:type="spellEnd"/>
            <w:r>
              <w:rPr>
                <w:szCs w:val="20"/>
                <w:lang w:eastAsia="nb-NO"/>
              </w:rPr>
              <w:t xml:space="preserve"> underveis ved behov</w:t>
            </w:r>
          </w:p>
        </w:tc>
        <w:tc>
          <w:tcPr>
            <w:tcW w:w="4536" w:type="dxa"/>
          </w:tcPr>
          <w:p w14:paraId="7C8A8098" w14:textId="77777777" w:rsidR="004D216D" w:rsidRDefault="004D216D" w:rsidP="00617C26">
            <w:pPr>
              <w:rPr>
                <w:szCs w:val="20"/>
                <w:lang w:eastAsia="nb-NO"/>
              </w:rPr>
            </w:pPr>
          </w:p>
          <w:p w14:paraId="687447F2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MAI 2012</w:t>
            </w:r>
          </w:p>
          <w:p w14:paraId="4FF8EB26" w14:textId="77777777" w:rsidR="004D216D" w:rsidRDefault="004D216D" w:rsidP="00617C26">
            <w:pPr>
              <w:rPr>
                <w:szCs w:val="20"/>
                <w:lang w:eastAsia="nb-NO"/>
              </w:rPr>
            </w:pPr>
          </w:p>
          <w:p w14:paraId="1B6201A6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Presentasjon 20 minutter</w:t>
            </w:r>
          </w:p>
          <w:p w14:paraId="19E605EA" w14:textId="77777777" w:rsidR="004D216D" w:rsidRPr="00217A1D" w:rsidRDefault="004D216D" w:rsidP="00217A1D">
            <w:pPr>
              <w:pStyle w:val="ListParagraph"/>
              <w:numPr>
                <w:ilvl w:val="0"/>
                <w:numId w:val="5"/>
              </w:num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Opplegg fra praksis</w:t>
            </w:r>
          </w:p>
          <w:p w14:paraId="287D95DC" w14:textId="77777777" w:rsidR="004D216D" w:rsidRPr="00217A1D" w:rsidRDefault="004D216D" w:rsidP="00217A1D">
            <w:pPr>
              <w:pStyle w:val="ListParagraph"/>
              <w:numPr>
                <w:ilvl w:val="0"/>
                <w:numId w:val="5"/>
              </w:numPr>
              <w:rPr>
                <w:szCs w:val="20"/>
                <w:lang w:eastAsia="nb-NO"/>
              </w:rPr>
            </w:pPr>
            <w:r w:rsidRPr="00217A1D">
              <w:rPr>
                <w:szCs w:val="20"/>
                <w:lang w:eastAsia="nb-NO"/>
              </w:rPr>
              <w:t>Teoribasert refleksjon</w:t>
            </w:r>
          </w:p>
        </w:tc>
        <w:tc>
          <w:tcPr>
            <w:tcW w:w="3058" w:type="dxa"/>
          </w:tcPr>
          <w:p w14:paraId="74EAE712" w14:textId="77777777" w:rsidR="004D216D" w:rsidRDefault="004D216D" w:rsidP="00617C26">
            <w:pPr>
              <w:rPr>
                <w:szCs w:val="20"/>
                <w:lang w:eastAsia="nb-NO"/>
              </w:rPr>
            </w:pPr>
            <w:r>
              <w:rPr>
                <w:szCs w:val="20"/>
                <w:lang w:eastAsia="nb-NO"/>
              </w:rPr>
              <w:t>Opponenter som kommenterer presentasjonene.</w:t>
            </w:r>
          </w:p>
        </w:tc>
      </w:tr>
    </w:tbl>
    <w:p w14:paraId="531B982F" w14:textId="77777777" w:rsidR="00217A1D" w:rsidRDefault="00217A1D" w:rsidP="00617C26">
      <w:pPr>
        <w:rPr>
          <w:szCs w:val="20"/>
          <w:lang w:eastAsia="nb-NO"/>
        </w:rPr>
      </w:pPr>
    </w:p>
    <w:p w14:paraId="64AA3197" w14:textId="3D38AD63" w:rsidR="00217A1D" w:rsidRDefault="00217A1D" w:rsidP="00617C26">
      <w:pPr>
        <w:rPr>
          <w:szCs w:val="20"/>
          <w:lang w:eastAsia="nb-NO"/>
        </w:rPr>
      </w:pPr>
      <w:r>
        <w:rPr>
          <w:szCs w:val="20"/>
          <w:lang w:eastAsia="nb-NO"/>
        </w:rPr>
        <w:t>Pensum</w:t>
      </w:r>
      <w:r w:rsidR="004D216D">
        <w:rPr>
          <w:szCs w:val="20"/>
          <w:lang w:eastAsia="nb-NO"/>
        </w:rPr>
        <w:t>forslag.</w:t>
      </w:r>
      <w:r w:rsidR="00882890">
        <w:rPr>
          <w:szCs w:val="20"/>
          <w:lang w:eastAsia="nb-NO"/>
        </w:rPr>
        <w:t xml:space="preserve"> ( Deles ut på samlingene og legges ut på wikispaces.)</w:t>
      </w:r>
    </w:p>
    <w:p w14:paraId="703D6AFC" w14:textId="77777777" w:rsidR="00217A1D" w:rsidRPr="00110CEA" w:rsidRDefault="00217A1D" w:rsidP="00110CEA">
      <w:pPr>
        <w:pStyle w:val="ListParagraph"/>
        <w:numPr>
          <w:ilvl w:val="0"/>
          <w:numId w:val="6"/>
        </w:numPr>
        <w:rPr>
          <w:szCs w:val="20"/>
          <w:lang w:eastAsia="nb-NO"/>
        </w:rPr>
      </w:pPr>
      <w:r w:rsidRPr="00110CEA">
        <w:rPr>
          <w:szCs w:val="20"/>
          <w:lang w:eastAsia="nb-NO"/>
        </w:rPr>
        <w:t>Muntlig: Langseth, I. Å lære å snakke et fremmedspråk er å kle seg naken.  Tapir Språkfag 1</w:t>
      </w:r>
    </w:p>
    <w:p w14:paraId="7F3E2C6B" w14:textId="77777777" w:rsidR="00217A1D" w:rsidRPr="00110CEA" w:rsidRDefault="00217A1D" w:rsidP="00110CEA">
      <w:pPr>
        <w:pStyle w:val="ListParagraph"/>
        <w:numPr>
          <w:ilvl w:val="0"/>
          <w:numId w:val="6"/>
        </w:numPr>
        <w:rPr>
          <w:szCs w:val="20"/>
          <w:lang w:eastAsia="nb-NO"/>
        </w:rPr>
      </w:pPr>
      <w:r w:rsidRPr="00110CEA">
        <w:rPr>
          <w:szCs w:val="20"/>
          <w:lang w:eastAsia="nb-NO"/>
        </w:rPr>
        <w:t xml:space="preserve">Skriving: Sandvik, L. Å rette med </w:t>
      </w:r>
      <w:proofErr w:type="spellStart"/>
      <w:r w:rsidRPr="00110CEA">
        <w:rPr>
          <w:szCs w:val="20"/>
          <w:lang w:eastAsia="nb-NO"/>
        </w:rPr>
        <w:t>rødpenna</w:t>
      </w:r>
      <w:proofErr w:type="spellEnd"/>
      <w:r w:rsidRPr="00110CEA">
        <w:rPr>
          <w:szCs w:val="20"/>
          <w:lang w:eastAsia="nb-NO"/>
        </w:rPr>
        <w:t>. Tapir Språkfag 3</w:t>
      </w:r>
    </w:p>
    <w:p w14:paraId="0F3B1436" w14:textId="77777777" w:rsidR="00217A1D" w:rsidRPr="00110CEA" w:rsidRDefault="00217A1D" w:rsidP="00110CEA">
      <w:pPr>
        <w:pStyle w:val="ListParagraph"/>
        <w:numPr>
          <w:ilvl w:val="0"/>
          <w:numId w:val="6"/>
        </w:numPr>
        <w:rPr>
          <w:szCs w:val="20"/>
          <w:lang w:eastAsia="nb-NO"/>
        </w:rPr>
      </w:pPr>
      <w:r w:rsidRPr="00110CEA">
        <w:rPr>
          <w:szCs w:val="20"/>
          <w:lang w:eastAsia="nb-NO"/>
        </w:rPr>
        <w:t>Grammatikk: Langseth, I. Følg med for nå skal vi gjennomgå grammatikk. Tapir Språkfag 4 ( upublisert)</w:t>
      </w:r>
    </w:p>
    <w:p w14:paraId="68832186" w14:textId="77777777" w:rsidR="00110CEA" w:rsidRPr="00110CEA" w:rsidRDefault="00217A1D" w:rsidP="00110CEA">
      <w:pPr>
        <w:pStyle w:val="ListParagraph"/>
        <w:numPr>
          <w:ilvl w:val="0"/>
          <w:numId w:val="6"/>
        </w:numPr>
        <w:rPr>
          <w:szCs w:val="20"/>
          <w:lang w:eastAsia="nb-NO"/>
        </w:rPr>
      </w:pPr>
      <w:r w:rsidRPr="00110CEA">
        <w:rPr>
          <w:szCs w:val="20"/>
          <w:lang w:eastAsia="nb-NO"/>
        </w:rPr>
        <w:t xml:space="preserve">Utvikling: Hoel, T.L. </w:t>
      </w:r>
      <w:proofErr w:type="spellStart"/>
      <w:r w:rsidRPr="00110CEA">
        <w:rPr>
          <w:szCs w:val="20"/>
          <w:lang w:eastAsia="nb-NO"/>
        </w:rPr>
        <w:t>Utprøvande</w:t>
      </w:r>
      <w:proofErr w:type="spellEnd"/>
      <w:r w:rsidRPr="00110CEA">
        <w:rPr>
          <w:szCs w:val="20"/>
          <w:lang w:eastAsia="nb-NO"/>
        </w:rPr>
        <w:t xml:space="preserve"> skriving i læringsprosessen.  </w:t>
      </w:r>
      <w:r w:rsidR="00110CEA" w:rsidRPr="00110CEA">
        <w:rPr>
          <w:i/>
          <w:szCs w:val="20"/>
          <w:lang w:eastAsia="nb-NO"/>
        </w:rPr>
        <w:t>Å s</w:t>
      </w:r>
      <w:r w:rsidRPr="00110CEA">
        <w:rPr>
          <w:i/>
          <w:szCs w:val="20"/>
          <w:lang w:eastAsia="nb-NO"/>
        </w:rPr>
        <w:t xml:space="preserve">krive i alle fag. </w:t>
      </w:r>
      <w:proofErr w:type="spellStart"/>
      <w:r w:rsidRPr="00110CEA">
        <w:rPr>
          <w:szCs w:val="20"/>
          <w:lang w:eastAsia="nb-NO"/>
        </w:rPr>
        <w:t>Unversitetsforlaget</w:t>
      </w:r>
      <w:proofErr w:type="spellEnd"/>
    </w:p>
    <w:p w14:paraId="09A9FD94" w14:textId="77777777" w:rsidR="00F67091" w:rsidRPr="00110CEA" w:rsidRDefault="00110CEA" w:rsidP="00110CEA">
      <w:pPr>
        <w:pStyle w:val="ListParagraph"/>
        <w:numPr>
          <w:ilvl w:val="0"/>
          <w:numId w:val="6"/>
        </w:numPr>
        <w:rPr>
          <w:szCs w:val="20"/>
          <w:lang w:eastAsia="nb-NO"/>
        </w:rPr>
      </w:pPr>
      <w:r w:rsidRPr="00110CEA">
        <w:rPr>
          <w:szCs w:val="20"/>
          <w:lang w:eastAsia="nb-NO"/>
        </w:rPr>
        <w:t xml:space="preserve">Utvikling: Hoel, T.L. Jeg skriver altså er jeg. I </w:t>
      </w:r>
      <w:r w:rsidRPr="00110CEA">
        <w:rPr>
          <w:i/>
          <w:szCs w:val="20"/>
          <w:lang w:eastAsia="nb-NO"/>
        </w:rPr>
        <w:t>Tekst som flytter grenser</w:t>
      </w:r>
      <w:r w:rsidRPr="00110CEA">
        <w:rPr>
          <w:szCs w:val="20"/>
          <w:lang w:eastAsia="nb-NO"/>
        </w:rPr>
        <w:t>. Novus forlag.</w:t>
      </w:r>
    </w:p>
    <w:sectPr w:rsidR="00F67091" w:rsidRPr="00110CEA" w:rsidSect="00F67091">
      <w:pgSz w:w="12240" w:h="15840"/>
      <w:pgMar w:top="1134" w:right="1134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F6088"/>
    <w:multiLevelType w:val="hybridMultilevel"/>
    <w:tmpl w:val="D56081AE"/>
    <w:lvl w:ilvl="0" w:tplc="E9DA0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32DE0"/>
    <w:multiLevelType w:val="hybridMultilevel"/>
    <w:tmpl w:val="376A4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E090E"/>
    <w:multiLevelType w:val="hybridMultilevel"/>
    <w:tmpl w:val="06A8B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BC595E"/>
    <w:multiLevelType w:val="hybridMultilevel"/>
    <w:tmpl w:val="67A0D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225DE"/>
    <w:multiLevelType w:val="hybridMultilevel"/>
    <w:tmpl w:val="FE4E9618"/>
    <w:lvl w:ilvl="0" w:tplc="E9DA0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354863"/>
    <w:multiLevelType w:val="hybridMultilevel"/>
    <w:tmpl w:val="40CAFA84"/>
    <w:lvl w:ilvl="0" w:tplc="E9DA0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F67091"/>
    <w:rsid w:val="00027F88"/>
    <w:rsid w:val="000B2E8E"/>
    <w:rsid w:val="000F7C44"/>
    <w:rsid w:val="00106A6C"/>
    <w:rsid w:val="00110CEA"/>
    <w:rsid w:val="001A701B"/>
    <w:rsid w:val="00217A1D"/>
    <w:rsid w:val="002C0BD9"/>
    <w:rsid w:val="002D5FBB"/>
    <w:rsid w:val="00483A33"/>
    <w:rsid w:val="004D216D"/>
    <w:rsid w:val="004D508F"/>
    <w:rsid w:val="00540494"/>
    <w:rsid w:val="00617C26"/>
    <w:rsid w:val="006A7CF3"/>
    <w:rsid w:val="007960FB"/>
    <w:rsid w:val="00882890"/>
    <w:rsid w:val="008B37A7"/>
    <w:rsid w:val="008C72E5"/>
    <w:rsid w:val="00932E82"/>
    <w:rsid w:val="009E4107"/>
    <w:rsid w:val="00A64B07"/>
    <w:rsid w:val="00AC4C09"/>
    <w:rsid w:val="00AD66D1"/>
    <w:rsid w:val="00B5652D"/>
    <w:rsid w:val="00CD0BAC"/>
    <w:rsid w:val="00D31E6D"/>
    <w:rsid w:val="00DA78ED"/>
    <w:rsid w:val="00DF3B28"/>
    <w:rsid w:val="00F670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00A45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Medium Grid 1 Accent 1" w:uiPriority="67"/>
  </w:latentStyles>
  <w:style w:type="paragraph" w:default="1" w:styleId="Normal">
    <w:name w:val="Normal"/>
    <w:qFormat/>
    <w:rsid w:val="00982F5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960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F670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960F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ListParagraph">
    <w:name w:val="List Paragraph"/>
    <w:basedOn w:val="Normal"/>
    <w:rsid w:val="00F6709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F670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style-span">
    <w:name w:val="apple-style-span"/>
    <w:basedOn w:val="DefaultParagraphFont"/>
    <w:rsid w:val="00106A6C"/>
  </w:style>
  <w:style w:type="table" w:styleId="TableGrid">
    <w:name w:val="Table Grid"/>
    <w:basedOn w:val="TableNormal"/>
    <w:rsid w:val="00B5652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1">
    <w:name w:val="Medium Grid 1 Accent 1"/>
    <w:basedOn w:val="TableNormal"/>
    <w:uiPriority w:val="67"/>
    <w:rsid w:val="00DA78ED"/>
    <w:pPr>
      <w:spacing w:after="0"/>
    </w:pPr>
    <w:rPr>
      <w:sz w:val="22"/>
      <w:szCs w:val="22"/>
      <w:lang w:eastAsia="nb-NO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1099</Words>
  <Characters>6267</Characters>
  <Application>Microsoft Macintosh Word</Application>
  <DocSecurity>0</DocSecurity>
  <Lines>52</Lines>
  <Paragraphs>14</Paragraphs>
  <ScaleCrop>false</ScaleCrop>
  <Company>NTNU</Company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 Langseth</dc:creator>
  <cp:keywords/>
  <cp:lastModifiedBy>Inger Langseth</cp:lastModifiedBy>
  <cp:revision>16</cp:revision>
  <dcterms:created xsi:type="dcterms:W3CDTF">2011-03-13T10:26:00Z</dcterms:created>
  <dcterms:modified xsi:type="dcterms:W3CDTF">2011-10-01T10:34:00Z</dcterms:modified>
</cp:coreProperties>
</file>